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西班牙语（1）</w:t>
      </w:r>
      <w:r>
        <w:rPr>
          <w:rFonts w:hint="eastAsia"/>
          <w:sz w:val="28"/>
          <w:szCs w:val="28"/>
        </w:rPr>
        <w:t>】</w:t>
      </w:r>
    </w:p>
    <w:p>
      <w:pPr>
        <w:shd w:val="clear" w:color="auto" w:fill="F5F5F5"/>
        <w:adjustRightInd w:val="0"/>
        <w:snapToGrid w:val="0"/>
        <w:spacing w:line="24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【Spanish（1）】</w:t>
      </w:r>
      <w:bookmarkStart w:id="0" w:name="a2"/>
      <w:bookmarkEnd w:id="0"/>
    </w:p>
    <w:p>
      <w:pPr>
        <w:spacing w:before="156" w:after="156" w:line="288" w:lineRule="auto"/>
        <w:ind w:firstLine="360" w:firstLineChars="150"/>
        <w:textAlignment w:val="baseline"/>
        <w:rPr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2020246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开课院系：</w:t>
      </w:r>
      <w:r>
        <w:rPr>
          <w:rFonts w:hint="eastAsia" w:ascii="宋体" w:hAnsi="宋体"/>
          <w:bCs/>
          <w:sz w:val="20"/>
          <w:szCs w:val="20"/>
        </w:rPr>
        <w:t>外国语学院</w:t>
      </w:r>
    </w:p>
    <w:p>
      <w:pPr>
        <w:snapToGrid w:val="0"/>
        <w:spacing w:line="288" w:lineRule="auto"/>
        <w:ind w:left="1604" w:leftChars="190" w:hanging="1205" w:hangingChars="6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《现代西班牙语》，董燕生/刘建主编，外语教学与研究出版社，2014年12月第4版</w:t>
      </w:r>
    </w:p>
    <w:p>
      <w:pPr>
        <w:snapToGrid w:val="0"/>
        <w:spacing w:line="288" w:lineRule="auto"/>
        <w:ind w:left="1401" w:leftChars="190" w:hanging="1002" w:hangingChars="501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参考书目：《交际西班牙语教程》,Olga Balboa Sanchez等主编，上海外语教育出版社,2018</w:t>
      </w:r>
    </w:p>
    <w:p>
      <w:pPr>
        <w:snapToGrid w:val="0"/>
        <w:spacing w:line="288" w:lineRule="auto"/>
        <w:ind w:left="1396" w:leftChars="665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《基础西班牙语》,何仕凡主编，世界图书出版公司，2009; </w:t>
      </w:r>
    </w:p>
    <w:p>
      <w:pPr>
        <w:ind w:firstLine="1400" w:firstLineChars="7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《西班牙语口语教程》,何仕凡主编，上海外语教育出版社,2014。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2" w:firstLineChars="196"/>
        <w:rPr>
          <w:bCs/>
          <w:color w:val="000000"/>
          <w:sz w:val="20"/>
          <w:szCs w:val="20"/>
        </w:rPr>
      </w:pPr>
    </w:p>
    <w:p>
      <w:pPr>
        <w:snapToGrid w:val="0"/>
        <w:spacing w:before="156" w:after="156" w:line="288" w:lineRule="auto"/>
        <w:ind w:firstLine="480" w:firstLineChars="200"/>
        <w:textAlignment w:val="baseline"/>
        <w:rPr>
          <w:b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textAlignment w:val="baseline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随着我国和西班牙、拉丁美洲在经济、政治、文化、贸易等领域联系的不断加强，越来越多的人希望深入了解西班牙这个老牌帝国，掌握一定的西班牙语。本课程为外国语学院英语及日语专业学生设计，旨在培养学生掌握西班牙语的发音、基础语法知识及一些常用的西语词汇和短句，同时强化口语能力训练，帮助学生具备初级的西班牙语听说读写能力，为未来的工作提供一定的优势。</w:t>
      </w: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本课程适合</w:t>
      </w:r>
      <w:r>
        <w:rPr>
          <w:rFonts w:hint="eastAsia"/>
          <w:color w:val="000000"/>
          <w:kern w:val="0"/>
          <w:sz w:val="20"/>
          <w:szCs w:val="20"/>
        </w:rPr>
        <w:t>外国语学院英语及日语专业学生，无需西班牙语基础。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pPr w:leftFromText="180" w:rightFromText="180" w:vertAnchor="text" w:horzAnchor="page" w:tblpX="1874" w:tblpY="152"/>
        <w:tblOverlap w:val="never"/>
        <w:tblW w:w="79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75"/>
        <w:gridCol w:w="2470"/>
        <w:gridCol w:w="2199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4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掌握西班牙语基础发音</w:t>
            </w:r>
          </w:p>
        </w:tc>
        <w:tc>
          <w:tcPr>
            <w:tcW w:w="2199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、练习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西班牙语基础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199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、练习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4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能够流利</w:t>
            </w:r>
            <w:r>
              <w:rPr>
                <w:color w:val="000000"/>
                <w:kern w:val="0"/>
                <w:sz w:val="20"/>
                <w:szCs w:val="20"/>
              </w:rPr>
              <w:t>朗读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199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，师生互动、互评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4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199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，师生互动、交流</w:t>
            </w:r>
          </w:p>
        </w:tc>
        <w:tc>
          <w:tcPr>
            <w:tcW w:w="1276" w:type="dxa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课堂互动</w:t>
            </w:r>
          </w:p>
        </w:tc>
      </w:tr>
    </w:tbl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五、课程内容</w:t>
      </w:r>
    </w:p>
    <w:tbl>
      <w:tblPr>
        <w:tblStyle w:val="7"/>
        <w:tblW w:w="4774" w:type="pct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05"/>
        <w:gridCol w:w="2247"/>
        <w:gridCol w:w="30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1232" w:type="pct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1381" w:type="pct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难点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1.普通名词和专有名词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2.名词的单数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3.名词的性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1.知道普通名词和专有名词的概念及其区别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2.理解何为西班牙语名词的性与数并正确运用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初次接触一门新语种，对于英语专业的学生来说易与英语混为一谈，须理清逻辑，将英语和西语清晰地区分开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pct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主格人称代词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2.系动词ser的陈述式现在时变位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1381" w:type="pct"/>
          </w:tcPr>
          <w:p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1.知道并记忆主格人称代词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2.知道并记忆系动词ser的陈述式现在时变位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概念不难，但记忆点较多，需花时间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2" w:type="pct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名词的数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2.定冠词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3.介词de和en的用法</w:t>
            </w: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1.知道名词数的概念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2.理解定冠词的结构及用法并正确运用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3.知道介词de和en的用法并正确运用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概念不难，但记忆点较多，需花时间，且介词用法繁多，不同场景即便使用的介词相同但代表的含义也不同，故须真正理解相同介词在不同场景下的使用方法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pct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形容词的性、数及其与名词的性、数一致关系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2.非重读物主形容词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3.不规则动词ir的陈述式现在时变位</w:t>
            </w: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1.知道形容词的性、数及其与名词的性、数之间的关系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2.知道非重读物主形容词并正确运用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3.知道不规则动词ir的陈述式现在时变位规则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知识点不复杂，但需要记忆的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内容较多，熟练运用。同样需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要勤加练习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2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1.介词a的用法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2.移行规则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3.不定冠词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1.知道介词a的用法并合理运用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2.知道西语常用动词短语并合理运用 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介词用法繁多，不同场景即便使用的介词相同但代表的含义完全不同，故须真正理解相同介词在不同场景下的使用方法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2" w:type="pct"/>
          </w:tcPr>
          <w:p>
            <w:pPr>
              <w:pStyle w:val="13"/>
              <w:numPr>
                <w:ilvl w:val="0"/>
                <w:numId w:val="4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指示形容词</w:t>
            </w:r>
          </w:p>
          <w:p>
            <w:pPr>
              <w:pStyle w:val="13"/>
              <w:numPr>
                <w:ilvl w:val="0"/>
                <w:numId w:val="4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指示代词</w:t>
            </w:r>
          </w:p>
          <w:p>
            <w:pPr>
              <w:pStyle w:val="13"/>
              <w:numPr>
                <w:ilvl w:val="0"/>
                <w:numId w:val="4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代词式动词</w:t>
            </w:r>
          </w:p>
        </w:tc>
        <w:tc>
          <w:tcPr>
            <w:tcW w:w="1381" w:type="pct"/>
          </w:tcPr>
          <w:p>
            <w:pPr>
              <w:pStyle w:val="13"/>
              <w:numPr>
                <w:ilvl w:val="0"/>
                <w:numId w:val="5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理解指示形容词和指示代词用法及其表达形式的不同</w:t>
            </w:r>
          </w:p>
          <w:p>
            <w:pPr>
              <w:pStyle w:val="13"/>
              <w:numPr>
                <w:ilvl w:val="0"/>
                <w:numId w:val="5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理解代词式动词的结构及其用法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概念繁多且近似，极易混淆，须将两者放在一起进行对比，通过举例和练习的方式帮助学生掌握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2" w:type="pct"/>
          </w:tcPr>
          <w:p>
            <w:pPr>
              <w:pStyle w:val="13"/>
              <w:numPr>
                <w:ilvl w:val="0"/>
                <w:numId w:val="6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不规则动词acostars、comenzar、decir等陈述式现在时变位</w:t>
            </w:r>
          </w:p>
          <w:p>
            <w:pPr>
              <w:pStyle w:val="13"/>
              <w:numPr>
                <w:ilvl w:val="0"/>
                <w:numId w:val="6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感叹句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1.知道不规则动词acostarse、comenzar、decir等陈述式现在时变位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2.知道感叹句的句型及结构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记忆量较大，需经大量练习，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反复纠错，才能真正理解并掌握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1.直接宾语与宾格人称代词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2.钟点表示法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 动词短语ir a+inf和tener que+inf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1.理解并正确分析直接宾语与宾格人称代词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2.知道动词短语ir a+inf和tener que+inf的用法并正确运用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直接宾语和宾格代词的语法概念相对简单，但当出现在句子中时，还是不容易判断，故需要经过大量练习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1.无人称动词haber用法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2.介词a、con、de、para、por的用法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1.知道无人称的含义及用法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2.知道介词a、con、de、para、por的用法并正确运用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无人称语法概念不难，但易忽略该人称而习惯性地去使用有人称动词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且介词用法繁多，不同场景即便使用的介词相同但代表的含义也不同，故须真正理解相同介词在不同场景下的使用方法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1.基数词11-20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2.不规则动词cerrar、empezar、pedir、poder、querer的陈述式现在时用法</w:t>
            </w: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1.知道并记忆基数词11-20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2.不规则动词cerrar、empezar、pedir、poder、querer的陈述式现在时用法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该部分极易遗忘或相混淆，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故须经过反复大量的练习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2" w:type="pct"/>
          </w:tcPr>
          <w:p>
            <w:pPr>
              <w:pStyle w:val="13"/>
              <w:numPr>
                <w:ilvl w:val="0"/>
                <w:numId w:val="7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第一变位规则动词陈述式现在时的变位</w:t>
            </w:r>
          </w:p>
          <w:p>
            <w:pPr>
              <w:pStyle w:val="13"/>
              <w:numPr>
                <w:ilvl w:val="0"/>
                <w:numId w:val="7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动词gustar和encantar的用法</w:t>
            </w:r>
          </w:p>
          <w:p>
            <w:pPr>
              <w:pStyle w:val="13"/>
              <w:numPr>
                <w:ilvl w:val="0"/>
                <w:numId w:val="7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动词coger的陈述式现在时变位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1知道、记忆并熟练运用第一变位规则动词陈述式现在时的变位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2.理解使动动词的含义及用法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初次接触全新的动词变位体系，知识点不易理解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使动动词和普通动词的用法大不相同，概念同样不易理解，需经过大量举例使学生理解并进行大量练习确保掌握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2" w:type="pct"/>
          </w:tcPr>
          <w:p>
            <w:pPr>
              <w:pStyle w:val="13"/>
              <w:numPr>
                <w:ilvl w:val="0"/>
                <w:numId w:val="8"/>
              </w:numPr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不规则动词despedirse、encontrar、fregar等的陈述式现在时变位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2.连接词cuando或介词结构al+inf.与时间从句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1.知道不规则动词despedirse、encontrar、fregar等的陈述式现在时变位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2.知道连接词cuando或介词结构al+inf.与时间从句并熟练造句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不规则动词变位规则复杂且多样，在对规则变位进行反复记忆后，对常用不规则动词的记忆相对困难，故须经细致梳理才能不易混淆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1.疑问副词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ndo及其引导的疑问句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2.基数词21-50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1.知道疑问副词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ndo及其引导的疑问句的结构并熟练造句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2.知道并记忆基数词21-50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记忆量较大，且疑问副词和回答所用单词非常相似，故需经大量练习，并仔细反复纠错，才能真正理解并掌握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2" w:type="pct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不定代词nada的用法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不定代词nadie的用法</w:t>
            </w:r>
          </w:p>
        </w:tc>
        <w:tc>
          <w:tcPr>
            <w:tcW w:w="1381" w:type="pct"/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1.理解西班牙语中的直接引语和间接引语并分析其不同使用场景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2.分析不同连接词的用法并正确使用</w:t>
            </w:r>
          </w:p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两种不同放置位置，但含义一致，仅需记忆一种即可，但难点是须理解才能正确使用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12" w:type="pct"/>
          </w:tcPr>
          <w:p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2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语法知识汇总及针对性练习</w:t>
            </w:r>
          </w:p>
        </w:tc>
        <w:tc>
          <w:tcPr>
            <w:tcW w:w="1381" w:type="pct"/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理解并正确运用本课程所有教授语法知识，并根据相关练习进行查漏补缺</w:t>
            </w:r>
          </w:p>
        </w:tc>
        <w:tc>
          <w:tcPr>
            <w:tcW w:w="1875" w:type="pct"/>
            <w:tcBorders>
              <w:right w:val="single" w:color="auto" w:sz="4" w:space="0"/>
            </w:tcBorders>
          </w:tcPr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语法知识繁多，需逐个梳理并</w:t>
            </w:r>
          </w:p>
          <w:p>
            <w:pPr>
              <w:pStyle w:val="13"/>
              <w:snapToGrid w:val="0"/>
              <w:spacing w:line="300" w:lineRule="auto"/>
              <w:ind w:firstLine="0" w:firstLineChars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进行大量练习</w:t>
            </w:r>
          </w:p>
        </w:tc>
      </w:tr>
    </w:tbl>
    <w:p>
      <w:pPr>
        <w:widowControl/>
        <w:spacing w:before="156" w:after="156" w:line="288" w:lineRule="auto"/>
        <w:jc w:val="left"/>
        <w:textAlignment w:val="baseline"/>
        <w:rPr>
          <w:rFonts w:hint="eastAsia" w:ascii="黑体" w:hAnsi="宋体" w:eastAsia="黑体"/>
          <w:sz w:val="24"/>
        </w:rPr>
      </w:pPr>
    </w:p>
    <w:p>
      <w:pPr>
        <w:widowControl/>
        <w:spacing w:before="156" w:after="156" w:line="288" w:lineRule="auto"/>
        <w:jc w:val="left"/>
        <w:textAlignment w:val="baseline"/>
        <w:rPr>
          <w:rFonts w:hint="eastAsia" w:ascii="黑体" w:hAnsi="宋体" w:eastAsia="黑体"/>
          <w:sz w:val="24"/>
        </w:rPr>
      </w:pPr>
    </w:p>
    <w:p>
      <w:pPr>
        <w:widowControl/>
        <w:spacing w:before="156" w:after="156" w:line="288" w:lineRule="auto"/>
        <w:jc w:val="left"/>
        <w:textAlignment w:val="baseline"/>
        <w:rPr>
          <w:rFonts w:hint="eastAsia" w:ascii="黑体" w:hAnsi="宋体" w:eastAsia="黑体"/>
          <w:sz w:val="24"/>
        </w:rPr>
      </w:pPr>
    </w:p>
    <w:p>
      <w:pPr>
        <w:widowControl/>
        <w:spacing w:before="156" w:after="156" w:line="288" w:lineRule="auto"/>
        <w:jc w:val="left"/>
        <w:textAlignment w:val="baseline"/>
        <w:rPr>
          <w:rFonts w:ascii="黑体" w:hAnsi="宋体" w:eastAsia="黑体"/>
          <w:sz w:val="24"/>
        </w:rPr>
      </w:pPr>
      <w:bookmarkStart w:id="1" w:name="_GoBack"/>
      <w:bookmarkEnd w:id="1"/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6"/>
        <w:tblpPr w:leftFromText="180" w:rightFromText="180" w:vertAnchor="text" w:horzAnchor="margin" w:tblpY="311"/>
        <w:tblOverlap w:val="never"/>
        <w:tblW w:w="8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4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after="156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46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350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46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350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46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</w:t>
            </w:r>
          </w:p>
        </w:tc>
        <w:tc>
          <w:tcPr>
            <w:tcW w:w="1350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46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</w:t>
            </w:r>
          </w:p>
        </w:tc>
        <w:tc>
          <w:tcPr>
            <w:tcW w:w="1350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46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</w:t>
            </w:r>
          </w:p>
        </w:tc>
        <w:tc>
          <w:tcPr>
            <w:tcW w:w="1350" w:type="dxa"/>
          </w:tcPr>
          <w:p>
            <w:pPr>
              <w:snapToGrid w:val="0"/>
              <w:spacing w:before="156" w:after="156"/>
              <w:jc w:val="center"/>
              <w:textAlignment w:val="baseline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textAlignment w:val="baseline"/>
        <w:rPr>
          <w:b/>
          <w:i/>
          <w:caps/>
        </w:rPr>
      </w:pPr>
    </w:p>
    <w:p>
      <w:pPr>
        <w:snapToGrid w:val="0"/>
        <w:spacing w:line="288" w:lineRule="auto"/>
        <w:textAlignment w:val="baseline"/>
        <w:rPr>
          <w:b/>
          <w:i/>
          <w:caps/>
        </w:rPr>
      </w:pPr>
    </w:p>
    <w:p>
      <w:pPr>
        <w:snapToGrid w:val="0"/>
        <w:spacing w:line="288" w:lineRule="auto"/>
        <w:textAlignment w:val="baseline"/>
      </w:pPr>
      <w:r>
        <w:rPr>
          <w:rFonts w:hint="eastAsia"/>
        </w:rPr>
        <w:t>撰写：</w:t>
      </w:r>
      <w:r>
        <w:drawing>
          <wp:inline distT="0" distB="0" distL="0" distR="0">
            <wp:extent cx="829945" cy="472440"/>
            <wp:effectExtent l="0" t="0" r="8255" b="3810"/>
            <wp:docPr id="2" name="图片 2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系主任审核：  </w:t>
      </w:r>
      <w:r>
        <w:rPr>
          <w:rFonts w:hint="eastAsia"/>
        </w:rPr>
        <w:drawing>
          <wp:inline distT="0" distB="0" distL="0" distR="0">
            <wp:extent cx="763270" cy="552450"/>
            <wp:effectExtent l="0" t="0" r="17780" b="0"/>
            <wp:docPr id="1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签名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t xml:space="preserve">          </w:t>
      </w:r>
    </w:p>
    <w:p>
      <w:pPr>
        <w:snapToGrid w:val="0"/>
        <w:spacing w:line="288" w:lineRule="auto"/>
        <w:textAlignment w:val="baseline"/>
        <w:rPr>
          <w:b/>
          <w:i/>
          <w:caps/>
        </w:rPr>
      </w:pPr>
      <w:r>
        <w:rPr>
          <w:rFonts w:hint="eastAsia"/>
          <w:szCs w:val="21"/>
        </w:rPr>
        <w:t>审核时间：2022.9</w:t>
      </w:r>
      <w:r>
        <w:rPr>
          <w:szCs w:val="21"/>
        </w:rPr>
        <w:t>.17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hint="eastAsia" w:ascii="宋体" w:hAnsi="宋体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57257"/>
    <w:multiLevelType w:val="singleLevel"/>
    <w:tmpl w:val="8A2572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C5D321"/>
    <w:multiLevelType w:val="singleLevel"/>
    <w:tmpl w:val="9FC5D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606DF2"/>
    <w:multiLevelType w:val="singleLevel"/>
    <w:tmpl w:val="C9606D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C8D4AD"/>
    <w:multiLevelType w:val="singleLevel"/>
    <w:tmpl w:val="CBC8D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268D74"/>
    <w:multiLevelType w:val="singleLevel"/>
    <w:tmpl w:val="DE268D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92CAF2"/>
    <w:multiLevelType w:val="singleLevel"/>
    <w:tmpl w:val="E692C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0B902D"/>
    <w:multiLevelType w:val="singleLevel"/>
    <w:tmpl w:val="F30B9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D1B7625"/>
    <w:multiLevelType w:val="singleLevel"/>
    <w:tmpl w:val="0D1B76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BAE2ACB"/>
    <w:multiLevelType w:val="singleLevel"/>
    <w:tmpl w:val="5BAE2A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  <w:docVar w:name="KSO_WPS_MARK_KEY" w:val="79f08d4e-60ce-4637-a06e-2e4658c89b00"/>
  </w:docVars>
  <w:rsids>
    <w:rsidRoot w:val="00B7651F"/>
    <w:rsid w:val="0001774F"/>
    <w:rsid w:val="00053B58"/>
    <w:rsid w:val="00053D26"/>
    <w:rsid w:val="00057B2E"/>
    <w:rsid w:val="0006164D"/>
    <w:rsid w:val="00064906"/>
    <w:rsid w:val="0007321C"/>
    <w:rsid w:val="0007362F"/>
    <w:rsid w:val="000943B1"/>
    <w:rsid w:val="000A4B16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7437"/>
    <w:rsid w:val="00173795"/>
    <w:rsid w:val="0019507A"/>
    <w:rsid w:val="00196D53"/>
    <w:rsid w:val="001D0F76"/>
    <w:rsid w:val="001F4A01"/>
    <w:rsid w:val="001F5616"/>
    <w:rsid w:val="00211BC1"/>
    <w:rsid w:val="00211C84"/>
    <w:rsid w:val="00227B30"/>
    <w:rsid w:val="00233494"/>
    <w:rsid w:val="00235D61"/>
    <w:rsid w:val="00245A79"/>
    <w:rsid w:val="00256B39"/>
    <w:rsid w:val="0026033C"/>
    <w:rsid w:val="002846CF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D2EDA"/>
    <w:rsid w:val="003D5F8A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6F3726"/>
    <w:rsid w:val="007058E7"/>
    <w:rsid w:val="0071706A"/>
    <w:rsid w:val="007208D6"/>
    <w:rsid w:val="007217C9"/>
    <w:rsid w:val="007242AE"/>
    <w:rsid w:val="00752413"/>
    <w:rsid w:val="00764C08"/>
    <w:rsid w:val="0077101C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1210F"/>
    <w:rsid w:val="008249B8"/>
    <w:rsid w:val="00832F18"/>
    <w:rsid w:val="008330C1"/>
    <w:rsid w:val="0084471C"/>
    <w:rsid w:val="00846F24"/>
    <w:rsid w:val="00855359"/>
    <w:rsid w:val="0086637C"/>
    <w:rsid w:val="00885A63"/>
    <w:rsid w:val="00892822"/>
    <w:rsid w:val="008A5C44"/>
    <w:rsid w:val="008B0FAD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7758"/>
    <w:rsid w:val="009858BD"/>
    <w:rsid w:val="0099063E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13464"/>
    <w:rsid w:val="00B27194"/>
    <w:rsid w:val="00B44216"/>
    <w:rsid w:val="00B511A5"/>
    <w:rsid w:val="00B64785"/>
    <w:rsid w:val="00B7651F"/>
    <w:rsid w:val="00B9297E"/>
    <w:rsid w:val="00BD2EEE"/>
    <w:rsid w:val="00BD6ABD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123B0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6D30"/>
    <w:rsid w:val="00E20EB9"/>
    <w:rsid w:val="00E24D93"/>
    <w:rsid w:val="00E27131"/>
    <w:rsid w:val="00E33169"/>
    <w:rsid w:val="00E378A9"/>
    <w:rsid w:val="00E52785"/>
    <w:rsid w:val="00E54829"/>
    <w:rsid w:val="00E70904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35AA0"/>
    <w:rsid w:val="00F43044"/>
    <w:rsid w:val="00F62A73"/>
    <w:rsid w:val="00F7179B"/>
    <w:rsid w:val="00F93039"/>
    <w:rsid w:val="00F94D1D"/>
    <w:rsid w:val="00FB6828"/>
    <w:rsid w:val="00FC4473"/>
    <w:rsid w:val="00FD3DF4"/>
    <w:rsid w:val="00FE0561"/>
    <w:rsid w:val="00FE4BA3"/>
    <w:rsid w:val="00FE7BA1"/>
    <w:rsid w:val="00FF2C61"/>
    <w:rsid w:val="01B8201F"/>
    <w:rsid w:val="024B0C39"/>
    <w:rsid w:val="06CD4C74"/>
    <w:rsid w:val="06FB70AF"/>
    <w:rsid w:val="07910517"/>
    <w:rsid w:val="089608E6"/>
    <w:rsid w:val="1252010C"/>
    <w:rsid w:val="170C74B4"/>
    <w:rsid w:val="17BC3FF6"/>
    <w:rsid w:val="24192CCC"/>
    <w:rsid w:val="27AF0196"/>
    <w:rsid w:val="3CD52CE1"/>
    <w:rsid w:val="3D3C55B6"/>
    <w:rsid w:val="41736F2E"/>
    <w:rsid w:val="438C0DBE"/>
    <w:rsid w:val="46944540"/>
    <w:rsid w:val="4C653F3E"/>
    <w:rsid w:val="5000177F"/>
    <w:rsid w:val="54875D3D"/>
    <w:rsid w:val="56433121"/>
    <w:rsid w:val="575A7739"/>
    <w:rsid w:val="59F8422E"/>
    <w:rsid w:val="5DF1727D"/>
    <w:rsid w:val="627C2973"/>
    <w:rsid w:val="66BA4938"/>
    <w:rsid w:val="69832317"/>
    <w:rsid w:val="6EC86481"/>
    <w:rsid w:val="6F5042C2"/>
    <w:rsid w:val="6F5108A3"/>
    <w:rsid w:val="739B7FA4"/>
    <w:rsid w:val="76A57B7D"/>
    <w:rsid w:val="773E764D"/>
    <w:rsid w:val="796D0776"/>
    <w:rsid w:val="7DF22963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文字 字符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2266</Words>
  <Characters>2662</Characters>
  <Lines>20</Lines>
  <Paragraphs>5</Paragraphs>
  <TotalTime>0</TotalTime>
  <ScaleCrop>false</ScaleCrop>
  <LinksUpToDate>false</LinksUpToDate>
  <CharactersWithSpaces>2703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juvg</dc:creator>
  <cp:lastModifiedBy>Administrator</cp:lastModifiedBy>
  <dcterms:modified xsi:type="dcterms:W3CDTF">2022-11-29T04:08:16Z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2116BC0AE6A24F0181130FD307E2A2B0</vt:lpwstr>
  </property>
</Properties>
</file>