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rPr>
          <w:rFonts w:hint="eastAsia"/>
          <w:b/>
          <w:sz w:val="28"/>
          <w:szCs w:val="30"/>
        </w:rPr>
        <w:pict>
          <v:shape id="文本框 1" o:spid="_x0000_s2050"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b/>
          <w:sz w:val="28"/>
          <w:szCs w:val="30"/>
        </w:rPr>
        <w:t>【高级德语1】</w:t>
      </w:r>
    </w:p>
    <w:p>
      <w:pPr>
        <w:shd w:val="clear" w:color="auto" w:fill="F5F5F5"/>
        <w:jc w:val="center"/>
        <w:textAlignment w:val="top"/>
        <w:rPr>
          <w:rFonts w:hint="eastAsia"/>
          <w:b/>
          <w:sz w:val="28"/>
          <w:szCs w:val="30"/>
        </w:rPr>
      </w:pPr>
      <w:r>
        <w:rPr>
          <w:rFonts w:hint="eastAsia"/>
          <w:b/>
          <w:sz w:val="28"/>
          <w:szCs w:val="30"/>
        </w:rPr>
        <w:t>【Advanced German1】</w:t>
      </w:r>
    </w:p>
    <w:p>
      <w:pPr>
        <w:spacing w:before="156" w:beforeLines="50" w:after="156" w:afterLines="50" w:line="288" w:lineRule="auto"/>
        <w:ind w:firstLine="360" w:firstLineChars="150"/>
        <w:rPr>
          <w:rFonts w:ascii="黑体" w:hAnsi="宋体" w:eastAsia="黑体"/>
          <w:sz w:val="24"/>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413" w:firstLineChars="196"/>
        <w:rPr>
          <w:color w:val="000000"/>
          <w:szCs w:val="21"/>
        </w:rPr>
      </w:pPr>
      <w:r>
        <w:rPr>
          <w:b/>
          <w:bCs/>
          <w:color w:val="000000"/>
          <w:szCs w:val="21"/>
        </w:rPr>
        <w:t>课程代码：</w:t>
      </w:r>
      <w:r>
        <w:rPr>
          <w:rFonts w:hint="eastAsia"/>
          <w:color w:val="000000"/>
          <w:szCs w:val="21"/>
        </w:rPr>
        <w:t>2020415</w:t>
      </w:r>
    </w:p>
    <w:p>
      <w:pPr>
        <w:snapToGrid w:val="0"/>
        <w:spacing w:line="288" w:lineRule="auto"/>
        <w:ind w:firstLine="413" w:firstLineChars="196"/>
        <w:rPr>
          <w:color w:val="000000"/>
          <w:szCs w:val="21"/>
        </w:rPr>
      </w:pPr>
      <w:r>
        <w:rPr>
          <w:b/>
          <w:bCs/>
          <w:color w:val="000000"/>
          <w:szCs w:val="21"/>
        </w:rPr>
        <w:t>课程学分：</w:t>
      </w:r>
      <w:r>
        <w:rPr>
          <w:rFonts w:hint="eastAsia"/>
          <w:color w:val="000000"/>
          <w:szCs w:val="21"/>
        </w:rPr>
        <w:t>6</w:t>
      </w:r>
    </w:p>
    <w:p>
      <w:pPr>
        <w:snapToGrid w:val="0"/>
        <w:spacing w:line="288" w:lineRule="auto"/>
        <w:ind w:firstLine="413" w:firstLineChars="196"/>
        <w:rPr>
          <w:color w:val="000000"/>
          <w:szCs w:val="21"/>
        </w:rPr>
      </w:pPr>
      <w:r>
        <w:rPr>
          <w:b/>
          <w:bCs/>
          <w:color w:val="000000"/>
          <w:szCs w:val="21"/>
        </w:rPr>
        <w:t>面向专业：</w:t>
      </w:r>
      <w:r>
        <w:rPr>
          <w:rFonts w:hint="eastAsia"/>
          <w:color w:val="000000"/>
          <w:szCs w:val="21"/>
        </w:rPr>
        <w:t>德语</w:t>
      </w:r>
    </w:p>
    <w:p>
      <w:pPr>
        <w:snapToGrid w:val="0"/>
        <w:spacing w:line="288" w:lineRule="auto"/>
        <w:ind w:firstLine="413" w:firstLineChars="196"/>
        <w:rPr>
          <w:color w:val="000000"/>
          <w:szCs w:val="21"/>
        </w:rPr>
      </w:pPr>
      <w:r>
        <w:rPr>
          <w:b/>
          <w:bCs/>
          <w:color w:val="000000"/>
          <w:szCs w:val="21"/>
        </w:rPr>
        <w:t>课程性质：</w:t>
      </w:r>
      <w:r>
        <w:rPr>
          <w:rFonts w:hint="eastAsia"/>
          <w:color w:val="000000"/>
          <w:szCs w:val="21"/>
        </w:rPr>
        <w:t>院级必修课，专业核心课</w:t>
      </w:r>
      <w:r>
        <w:rPr>
          <w:rFonts w:hint="eastAsia" w:ascii="宋体" w:hAnsi="宋体"/>
          <w:color w:val="000000"/>
          <w:szCs w:val="21"/>
        </w:rPr>
        <w:t>◎</w:t>
      </w:r>
    </w:p>
    <w:p>
      <w:pPr>
        <w:snapToGrid w:val="0"/>
        <w:spacing w:line="288" w:lineRule="auto"/>
        <w:ind w:firstLine="413" w:firstLineChars="196"/>
        <w:rPr>
          <w:b/>
          <w:bCs/>
          <w:color w:val="000000"/>
          <w:szCs w:val="21"/>
        </w:rPr>
      </w:pPr>
      <w:r>
        <w:rPr>
          <w:b/>
          <w:bCs/>
          <w:color w:val="000000"/>
          <w:szCs w:val="21"/>
        </w:rPr>
        <w:t>开课院系：</w:t>
      </w:r>
      <w:r>
        <w:rPr>
          <w:rFonts w:hint="eastAsia"/>
          <w:color w:val="000000"/>
          <w:szCs w:val="21"/>
        </w:rPr>
        <w:t>外国语学院德语系</w:t>
      </w:r>
    </w:p>
    <w:p>
      <w:pPr>
        <w:snapToGrid w:val="0"/>
        <w:spacing w:line="288" w:lineRule="auto"/>
        <w:ind w:firstLine="413" w:firstLineChars="196"/>
        <w:rPr>
          <w:color w:val="000000"/>
          <w:szCs w:val="21"/>
        </w:rPr>
      </w:pPr>
      <w:r>
        <w:rPr>
          <w:b/>
          <w:bCs/>
          <w:color w:val="000000"/>
          <w:szCs w:val="21"/>
        </w:rPr>
        <w:t>使用教材：</w:t>
      </w:r>
    </w:p>
    <w:p>
      <w:pPr>
        <w:snapToGrid w:val="0"/>
        <w:spacing w:line="288" w:lineRule="auto"/>
        <w:ind w:firstLine="831" w:firstLineChars="396"/>
        <w:rPr>
          <w:color w:val="000000"/>
          <w:szCs w:val="21"/>
        </w:rPr>
      </w:pPr>
      <w:r>
        <w:rPr>
          <w:color w:val="000000"/>
          <w:szCs w:val="21"/>
        </w:rPr>
        <w:t>教材</w:t>
      </w:r>
      <w:r>
        <w:rPr>
          <w:rFonts w:hint="eastAsia"/>
          <w:color w:val="000000"/>
          <w:szCs w:val="21"/>
        </w:rPr>
        <w:t>：</w:t>
      </w:r>
    </w:p>
    <w:p>
      <w:pPr>
        <w:snapToGrid w:val="0"/>
        <w:spacing w:line="288" w:lineRule="auto"/>
        <w:ind w:firstLine="831" w:firstLineChars="396"/>
        <w:rPr>
          <w:color w:val="000000"/>
          <w:szCs w:val="21"/>
        </w:rPr>
      </w:pPr>
      <w:r>
        <w:rPr>
          <w:rFonts w:hint="eastAsia"/>
          <w:color w:val="000000"/>
          <w:szCs w:val="21"/>
        </w:rPr>
        <w:t>《文化视窗—高级德语教程》主编：钱敏汝，外语教学与研究出版社，2015</w:t>
      </w:r>
    </w:p>
    <w:p>
      <w:pPr>
        <w:snapToGrid w:val="0"/>
        <w:spacing w:line="288" w:lineRule="auto"/>
        <w:ind w:left="718" w:leftChars="342" w:firstLine="105" w:firstLineChars="50"/>
        <w:rPr>
          <w:color w:val="000000"/>
          <w:szCs w:val="21"/>
        </w:rPr>
      </w:pPr>
      <w:r>
        <w:rPr>
          <w:color w:val="000000"/>
          <w:szCs w:val="21"/>
        </w:rPr>
        <w:t>参考</w:t>
      </w:r>
      <w:r>
        <w:rPr>
          <w:rFonts w:hint="eastAsia"/>
          <w:color w:val="000000"/>
          <w:szCs w:val="21"/>
        </w:rPr>
        <w:t>书目：</w:t>
      </w:r>
    </w:p>
    <w:p>
      <w:pPr>
        <w:snapToGrid w:val="0"/>
        <w:spacing w:line="288" w:lineRule="auto"/>
        <w:ind w:left="718" w:leftChars="342" w:firstLine="105" w:firstLineChars="50"/>
        <w:rPr>
          <w:color w:val="000000"/>
          <w:szCs w:val="21"/>
        </w:rPr>
      </w:pPr>
      <w:r>
        <w:rPr>
          <w:rFonts w:hint="eastAsia"/>
          <w:color w:val="000000"/>
          <w:szCs w:val="21"/>
        </w:rPr>
        <w:t>《新标准德语》主编：Michaela Perlmann-Balme，外语教学与研究出版社，2008</w:t>
      </w:r>
    </w:p>
    <w:p>
      <w:pPr>
        <w:snapToGrid w:val="0"/>
        <w:spacing w:line="288" w:lineRule="auto"/>
        <w:ind w:left="718" w:leftChars="342" w:firstLine="105" w:firstLineChars="50"/>
        <w:rPr>
          <w:szCs w:val="21"/>
        </w:rPr>
      </w:pPr>
      <w:r>
        <w:rPr>
          <w:rFonts w:hint="eastAsia"/>
          <w:szCs w:val="21"/>
        </w:rPr>
        <w:t>《德语语法精讲》黄克琴主编，上海译文出版社，2013.</w:t>
      </w:r>
    </w:p>
    <w:p>
      <w:pPr>
        <w:snapToGrid w:val="0"/>
        <w:spacing w:line="288" w:lineRule="auto"/>
        <w:ind w:left="718" w:leftChars="342" w:firstLine="105" w:firstLineChars="50"/>
        <w:rPr>
          <w:color w:val="000000"/>
          <w:szCs w:val="21"/>
        </w:rPr>
      </w:pPr>
      <w:r>
        <w:rPr>
          <w:rFonts w:hint="eastAsia" w:cs="Calibri"/>
          <w:color w:val="000000"/>
          <w:szCs w:val="21"/>
          <w:shd w:val="clear" w:color="auto" w:fill="FFFFFF"/>
        </w:rPr>
        <w:t>《德语动词1000》周抗美</w:t>
      </w:r>
      <w:r>
        <w:rPr>
          <w:rFonts w:hint="eastAsia"/>
          <w:szCs w:val="21"/>
        </w:rPr>
        <w:t>编著，</w:t>
      </w:r>
      <w:r>
        <w:fldChar w:fldCharType="begin"/>
      </w:r>
      <w:r>
        <w:instrText xml:space="preserve"> HYPERLINK "http://www.bookschina.com/publish/5608/" \t "http://mail.gench.edu.cn/preview/_blank" </w:instrText>
      </w:r>
      <w:r>
        <w:fldChar w:fldCharType="separate"/>
      </w:r>
      <w:r>
        <w:rPr>
          <w:rStyle w:val="8"/>
          <w:rFonts w:hint="eastAsia" w:ascii="宋体" w:hAnsi="宋体" w:cs="宋体"/>
          <w:color w:val="333333"/>
          <w:szCs w:val="21"/>
          <w:u w:val="none"/>
          <w:shd w:val="clear" w:color="auto" w:fill="FFFFFF"/>
        </w:rPr>
        <w:t>同济大学出版社</w:t>
      </w:r>
      <w:r>
        <w:rPr>
          <w:rStyle w:val="8"/>
          <w:rFonts w:hint="eastAsia" w:ascii="宋体" w:hAnsi="宋体" w:cs="宋体"/>
          <w:color w:val="333333"/>
          <w:szCs w:val="21"/>
          <w:u w:val="none"/>
          <w:shd w:val="clear" w:color="auto" w:fill="FFFFFF"/>
        </w:rPr>
        <w:fldChar w:fldCharType="end"/>
      </w:r>
      <w:r>
        <w:rPr>
          <w:rFonts w:hint="eastAsia" w:cs="Calibri"/>
          <w:color w:val="333333"/>
          <w:szCs w:val="21"/>
          <w:shd w:val="clear" w:color="auto" w:fill="FFFFFF"/>
        </w:rPr>
        <w:t>，2014</w:t>
      </w:r>
    </w:p>
    <w:p>
      <w:pPr>
        <w:snapToGrid w:val="0"/>
        <w:spacing w:line="288" w:lineRule="auto"/>
        <w:ind w:firstLine="413" w:firstLineChars="196"/>
        <w:rPr>
          <w:rFonts w:cs="Calibri"/>
          <w:color w:val="000000"/>
          <w:szCs w:val="21"/>
          <w:highlight w:val="cyan"/>
        </w:rPr>
      </w:pPr>
      <w:r>
        <w:rPr>
          <w:rFonts w:hint="eastAsia"/>
          <w:b/>
          <w:bCs/>
          <w:color w:val="000000"/>
          <w:szCs w:val="21"/>
        </w:rPr>
        <w:t>课程网站网址：</w:t>
      </w:r>
      <w:r>
        <w:rPr>
          <w:rFonts w:hint="eastAsia" w:hAnsi="宋体" w:cs="宋体"/>
          <w:color w:val="000000"/>
          <w:szCs w:val="21"/>
          <w:shd w:val="clear" w:color="auto" w:fill="FFFFFF"/>
        </w:rPr>
        <w:t>https://elearning.gench.edu.cn:8443/</w:t>
      </w:r>
    </w:p>
    <w:p>
      <w:pPr>
        <w:adjustRightInd w:val="0"/>
        <w:snapToGrid w:val="0"/>
        <w:spacing w:line="288" w:lineRule="auto"/>
        <w:ind w:firstLine="413" w:firstLineChars="196"/>
        <w:rPr>
          <w:color w:val="000000"/>
          <w:szCs w:val="21"/>
        </w:rPr>
      </w:pPr>
      <w:r>
        <w:rPr>
          <w:b/>
          <w:bCs/>
          <w:color w:val="000000"/>
          <w:szCs w:val="21"/>
        </w:rPr>
        <w:t>先修课程：</w:t>
      </w:r>
      <w:r>
        <w:rPr>
          <w:rFonts w:hint="eastAsia" w:ascii="宋体" w:hAnsi="宋体" w:cs="宋体"/>
          <w:szCs w:val="21"/>
        </w:rPr>
        <w:t xml:space="preserve">中级德语2 </w:t>
      </w:r>
      <w:r>
        <w:rPr>
          <w:rFonts w:hint="eastAsia" w:cs="宋体"/>
          <w:color w:val="000000"/>
          <w:szCs w:val="21"/>
        </w:rPr>
        <w:t>2020410</w:t>
      </w:r>
      <w:r>
        <w:rPr>
          <w:color w:val="000000"/>
          <w:szCs w:val="21"/>
        </w:rPr>
        <w:t>（</w:t>
      </w:r>
      <w:r>
        <w:rPr>
          <w:rFonts w:hint="eastAsia"/>
          <w:color w:val="000000"/>
          <w:szCs w:val="21"/>
        </w:rPr>
        <w:t>10</w:t>
      </w:r>
      <w:r>
        <w:rPr>
          <w:color w:val="000000"/>
          <w:szCs w:val="21"/>
        </w:rPr>
        <w:t>）</w:t>
      </w:r>
    </w:p>
    <w:p>
      <w:pPr>
        <w:adjustRightInd w:val="0"/>
        <w:snapToGrid w:val="0"/>
        <w:spacing w:before="156" w:beforeLines="50" w:after="156" w:afterLines="50" w:line="288" w:lineRule="auto"/>
        <w:ind w:firstLine="348" w:firstLineChars="145"/>
        <w:rPr>
          <w:rFonts w:ascii="黑体" w:hAnsi="宋体" w:eastAsia="黑体"/>
          <w:sz w:val="24"/>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pStyle w:val="11"/>
        <w:adjustRightInd w:val="0"/>
        <w:snapToGrid w:val="0"/>
        <w:spacing w:line="288" w:lineRule="auto"/>
        <w:ind w:left="210" w:leftChars="100" w:firstLine="630" w:firstLineChars="300"/>
        <w:rPr>
          <w:rFonts w:cs="Calibri"/>
          <w:color w:val="000000"/>
          <w:szCs w:val="21"/>
          <w:shd w:val="clear" w:color="auto" w:fill="FFFFFF"/>
        </w:rPr>
      </w:pPr>
      <w:r>
        <w:rPr>
          <w:rFonts w:hint="eastAsia"/>
          <w:color w:val="000000"/>
          <w:szCs w:val="21"/>
        </w:rPr>
        <w:t>高级德语1</w:t>
      </w:r>
      <w:r>
        <w:rPr>
          <w:rFonts w:hint="eastAsia" w:cs="Calibri"/>
          <w:color w:val="000000"/>
          <w:szCs w:val="21"/>
          <w:shd w:val="clear" w:color="auto" w:fill="FFFFFF"/>
        </w:rPr>
        <w:t>是德语专业大三学生必修课程，是中级德语2的深化，</w:t>
      </w:r>
      <w:r>
        <w:rPr>
          <w:rFonts w:hint="eastAsia"/>
          <w:color w:val="000000"/>
          <w:szCs w:val="21"/>
        </w:rPr>
        <w:t>它旨在培养德语专业高年级学生对各种文体的阅读分析理解能力，同时是学生具备一定的德语文化知识，使这些知识能转化成学生语言知识与技能的一部分。本课程文化视窗建构框架是“文化与跨文化”及“巩固与加强学生语言基本功”。</w:t>
      </w:r>
      <w:r>
        <w:rPr>
          <w:rFonts w:hint="eastAsia" w:cs="Calibri"/>
          <w:color w:val="000000"/>
          <w:szCs w:val="21"/>
          <w:shd w:val="clear" w:color="auto" w:fill="FFFFFF"/>
        </w:rPr>
        <w:t>注重学生听、说、读、写、译、思等各方面能力训练，并以“思”为这些能力的激磁。本课程的教学方法有别于“基础德语”和“中级德语”，并不是以讲授为主，而是学生运用已学的德语语法和语言知识通过思考来正确地理解课文。而是分三部分：预习，学生找出自己无法解决的难点；分组讨论，教师启发引导，从而切入新的知识点，如篇章语言学、语用学、认知语言学等方面的知识点，最终解决难点。练习，通过练习巩固掌握的知识点。从而全方位地培养学生综合运用德语的能力。学生学完高级德语1以后，语言水平能够达到欧洲语言标准C1的水平。</w:t>
      </w:r>
    </w:p>
    <w:p>
      <w:pPr>
        <w:adjustRightInd w:val="0"/>
        <w:snapToGrid w:val="0"/>
        <w:spacing w:before="156" w:beforeLines="50" w:after="156" w:afterLines="50" w:line="288" w:lineRule="auto"/>
        <w:ind w:firstLine="348" w:firstLineChars="145"/>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20" w:firstLineChars="200"/>
        <w:rPr>
          <w:color w:val="000000"/>
          <w:szCs w:val="21"/>
        </w:rPr>
      </w:pPr>
      <w:r>
        <w:rPr>
          <w:rFonts w:hint="eastAsia" w:cs="宋体"/>
          <w:color w:val="000000"/>
          <w:szCs w:val="21"/>
        </w:rPr>
        <w:t>适合德语专业三年级的学生。建议学生先修中级德语2。</w:t>
      </w:r>
    </w:p>
    <w:p>
      <w:pPr>
        <w:widowControl/>
        <w:spacing w:before="156" w:beforeLines="50" w:after="156" w:afterLines="50" w:line="288" w:lineRule="auto"/>
        <w:jc w:val="left"/>
        <w:rPr>
          <w:rFonts w:ascii="黑体" w:hAnsi="宋体" w:eastAsia="黑体"/>
          <w:szCs w:val="21"/>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p>
      <w:pPr>
        <w:rPr>
          <w:szCs w:val="21"/>
        </w:rPr>
      </w:pPr>
    </w:p>
    <w:tbl>
      <w:tblPr>
        <w:tblStyle w:val="5"/>
        <w:tblW w:w="8472" w:type="dxa"/>
        <w:tblInd w:w="0" w:type="dxa"/>
        <w:tblLayout w:type="fixed"/>
        <w:tblCellMar>
          <w:top w:w="0" w:type="dxa"/>
          <w:left w:w="108" w:type="dxa"/>
          <w:bottom w:w="0" w:type="dxa"/>
          <w:right w:w="108" w:type="dxa"/>
        </w:tblCellMar>
      </w:tblPr>
      <w:tblGrid>
        <w:gridCol w:w="675"/>
        <w:gridCol w:w="851"/>
        <w:gridCol w:w="6266"/>
        <w:gridCol w:w="680"/>
      </w:tblGrid>
      <w:tr>
        <w:tblPrEx>
          <w:tblCellMar>
            <w:top w:w="0" w:type="dxa"/>
            <w:left w:w="108" w:type="dxa"/>
            <w:bottom w:w="0" w:type="dxa"/>
            <w:right w:w="108" w:type="dxa"/>
          </w:tblCellMar>
        </w:tblPrEx>
        <w:trPr>
          <w:trHeight w:val="536" w:hRule="atLeast"/>
        </w:trPr>
        <w:tc>
          <w:tcPr>
            <w:tcW w:w="77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bookmarkStart w:id="0" w:name="_Hlk67319576"/>
            <w:r>
              <w:rPr>
                <w:rFonts w:hint="eastAsia" w:ascii="黑体" w:hAnsi="黑体" w:eastAsia="黑体" w:cs="黑体"/>
                <w:b/>
                <w:bCs/>
                <w:szCs w:val="20"/>
              </w:rPr>
              <w:t>专业毕业要求</w:t>
            </w:r>
          </w:p>
        </w:tc>
        <w:tc>
          <w:tcPr>
            <w:tcW w:w="68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关联</w:t>
            </w:r>
          </w:p>
        </w:tc>
      </w:tr>
      <w:tr>
        <w:tblPrEx>
          <w:tblCellMar>
            <w:top w:w="0" w:type="dxa"/>
            <w:left w:w="108" w:type="dxa"/>
            <w:bottom w:w="0" w:type="dxa"/>
            <w:right w:w="108" w:type="dxa"/>
          </w:tblCellMar>
        </w:tblPrEx>
        <w:trPr>
          <w:trHeight w:val="536"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L011</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LO111</w:t>
            </w:r>
          </w:p>
        </w:tc>
        <w:tc>
          <w:tcPr>
            <w:tcW w:w="62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倾听他人意见、尊重他人观点、分析他人需求。</w:t>
            </w:r>
          </w:p>
        </w:tc>
        <w:tc>
          <w:tcPr>
            <w:tcW w:w="68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66"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LO112</w:t>
            </w:r>
          </w:p>
        </w:tc>
        <w:tc>
          <w:tcPr>
            <w:tcW w:w="62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应用书面或口头形式，阐释自己的观点，有效沟通。</w:t>
            </w:r>
          </w:p>
        </w:tc>
        <w:tc>
          <w:tcPr>
            <w:tcW w:w="680"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83"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L021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LO211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能根据需要确定学习目标，并设计学习计划。</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color w:val="000000"/>
                <w:szCs w:val="21"/>
              </w:rPr>
              <w:t>●</w:t>
            </w:r>
          </w:p>
        </w:tc>
      </w:tr>
      <w:tr>
        <w:tblPrEx>
          <w:tblCellMar>
            <w:top w:w="0" w:type="dxa"/>
            <w:left w:w="108" w:type="dxa"/>
            <w:bottom w:w="0" w:type="dxa"/>
            <w:right w:w="108" w:type="dxa"/>
          </w:tblCellMar>
        </w:tblPrEx>
        <w:trPr>
          <w:trHeight w:val="260"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LO212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能搜集、获取达到目标所需要的学习资源，实施学习计划、反思学习计划、持续改进，达到学习目标。</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23" w:hRule="atLeast"/>
        </w:trPr>
        <w:tc>
          <w:tcPr>
            <w:tcW w:w="675"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掌握德语语言基本理论与知识</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color w:val="000000"/>
                <w:szCs w:val="21"/>
              </w:rPr>
              <w:t>●</w:t>
            </w:r>
          </w:p>
        </w:tc>
      </w:tr>
      <w:tr>
        <w:tblPrEx>
          <w:tblCellMar>
            <w:top w:w="0" w:type="dxa"/>
            <w:left w:w="108" w:type="dxa"/>
            <w:bottom w:w="0" w:type="dxa"/>
            <w:right w:w="108" w:type="dxa"/>
          </w:tblCellMar>
        </w:tblPrEx>
        <w:trPr>
          <w:trHeight w:val="185" w:hRule="atLeast"/>
        </w:trPr>
        <w:tc>
          <w:tcPr>
            <w:tcW w:w="67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具备扎实的语言基本功和听、说、读、写等语言应用能力。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color w:val="000000"/>
                <w:szCs w:val="21"/>
              </w:rPr>
              <w:t>●</w:t>
            </w:r>
          </w:p>
        </w:tc>
      </w:tr>
      <w:tr>
        <w:tblPrEx>
          <w:tblCellMar>
            <w:top w:w="0" w:type="dxa"/>
            <w:left w:w="108" w:type="dxa"/>
            <w:bottom w:w="0" w:type="dxa"/>
            <w:right w:w="108" w:type="dxa"/>
          </w:tblCellMar>
        </w:tblPrEx>
        <w:trPr>
          <w:trHeight w:val="161" w:hRule="atLeast"/>
        </w:trPr>
        <w:tc>
          <w:tcPr>
            <w:tcW w:w="675"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L0321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掌握德语语言学，具备一定理论基础。</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51" w:hRule="atLeast"/>
        </w:trPr>
        <w:tc>
          <w:tcPr>
            <w:tcW w:w="675"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L0322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了解德语文学，掌握相关知识，具有文学鉴赏能力。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13" w:hRule="atLeast"/>
        </w:trPr>
        <w:tc>
          <w:tcPr>
            <w:tcW w:w="6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L033</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LO331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了解德国国情历史和社会概况。</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LO332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熟悉中德两国文化差异，能够与德国人进行深入交流。</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color w:val="000000"/>
                <w:szCs w:val="21"/>
              </w:rPr>
              <w:t>●</w:t>
            </w:r>
          </w:p>
        </w:tc>
      </w:tr>
      <w:tr>
        <w:tblPrEx>
          <w:tblCellMar>
            <w:top w:w="0" w:type="dxa"/>
            <w:left w:w="108" w:type="dxa"/>
            <w:bottom w:w="0" w:type="dxa"/>
            <w:right w:w="108" w:type="dxa"/>
          </w:tblCellMar>
        </w:tblPrEx>
        <w:trPr>
          <w:trHeight w:val="99"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LO341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掌握一定的商贸知识，了解外贸的基本概念和基本操作。</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04"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LO342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具备从事外贸工作的基本技能，能够从事简单的外贸活动。</w:t>
            </w:r>
            <w:r>
              <w:rPr>
                <w:rFonts w:hint="eastAsia" w:ascii="宋体" w:hAnsi="宋体" w:cs="宋体"/>
                <w:color w:val="000000"/>
                <w:kern w:val="0"/>
                <w:szCs w:val="21"/>
              </w:rPr>
              <w:t>能用中德文双语撰写外贸函电，填写国际贸易的单证，起草外贸合同。</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69"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L0351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掌握笔译技巧，具有较熟练运用德语进行笔译工作的能力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31"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L0352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掌握口译技巧，具有较熟练运用德语进行口译工作的能力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97"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L041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LO411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遵纪守法：遵守校纪校规，具备法律意识。</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259"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LO412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诚实守信：为人诚实，信守承诺，尽职尽责。</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363"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LO413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爱岗敬业：了解与专业相关的法律法规，在学习和社会实践中遵守职业规范，具备职业道德操守。</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145"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LO414</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心理健康，能承受学习和生活中的压力。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49"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L051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LO511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在集体活动中能主动担任自己的角色，与其他成员密切合作，共同完成任务。</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74"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LO512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有质疑精神，能有逻辑的分析与批判。</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B050"/>
                <w:szCs w:val="21"/>
              </w:rPr>
            </w:pPr>
          </w:p>
        </w:tc>
      </w:tr>
      <w:tr>
        <w:tblPrEx>
          <w:tblCellMar>
            <w:top w:w="0" w:type="dxa"/>
            <w:left w:w="108" w:type="dxa"/>
            <w:bottom w:w="0" w:type="dxa"/>
            <w:right w:w="108" w:type="dxa"/>
          </w:tblCellMar>
        </w:tblPrEx>
        <w:trPr>
          <w:trHeight w:val="251"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LO513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能用创新的方法或者多种方法解决复杂问题或真实问题。</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B050"/>
                <w:szCs w:val="21"/>
              </w:rPr>
            </w:pPr>
          </w:p>
        </w:tc>
      </w:tr>
      <w:tr>
        <w:tblPrEx>
          <w:tblCellMar>
            <w:top w:w="0" w:type="dxa"/>
            <w:left w:w="108" w:type="dxa"/>
            <w:bottom w:w="0" w:type="dxa"/>
            <w:right w:w="108" w:type="dxa"/>
          </w:tblCellMar>
        </w:tblPrEx>
        <w:trPr>
          <w:trHeight w:val="212"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LO514</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了解行业前沿知识技术。</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B050"/>
                <w:szCs w:val="21"/>
              </w:rPr>
            </w:pPr>
          </w:p>
        </w:tc>
      </w:tr>
      <w:tr>
        <w:tblPrEx>
          <w:tblCellMar>
            <w:top w:w="0" w:type="dxa"/>
            <w:left w:w="108" w:type="dxa"/>
            <w:bottom w:w="0" w:type="dxa"/>
            <w:right w:w="108" w:type="dxa"/>
          </w:tblCellMar>
        </w:tblPrEx>
        <w:trPr>
          <w:trHeight w:val="302"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L061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LO611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能够根据需要进行专业文献检索。</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81"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LO612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能够使用适合的工具来搜集信息，并对信息加以分析、鉴别、判断与整合。</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86"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LO613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熟练使用计算机，掌握常用办公软件。</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19" w:hRule="atLeast"/>
        </w:trPr>
        <w:tc>
          <w:tcPr>
            <w:tcW w:w="6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L071</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LO711</w:t>
            </w:r>
          </w:p>
        </w:tc>
        <w:tc>
          <w:tcPr>
            <w:tcW w:w="62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爱党爱国：了解祖国的优秀传统文化和革命历史，构建爱党爱国的理想信念。</w:t>
            </w:r>
          </w:p>
        </w:tc>
        <w:tc>
          <w:tcPr>
            <w:tcW w:w="68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315"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LO712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助人为乐：富于爱心，懂得感恩，具备助人为乐的品质。</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263"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LO713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奉献社会：具有服务企业、服务社会的意愿和行为能力。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r>
              <w:rPr>
                <w:rFonts w:hint="eastAsia"/>
                <w:color w:val="000000"/>
                <w:szCs w:val="21"/>
              </w:rPr>
              <w:t>●</w:t>
            </w:r>
          </w:p>
        </w:tc>
      </w:tr>
      <w:tr>
        <w:tblPrEx>
          <w:tblCellMar>
            <w:top w:w="0" w:type="dxa"/>
            <w:left w:w="108" w:type="dxa"/>
            <w:bottom w:w="0" w:type="dxa"/>
            <w:right w:w="108" w:type="dxa"/>
          </w:tblCellMar>
        </w:tblPrEx>
        <w:trPr>
          <w:trHeight w:val="225"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LO714</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爱护环境：具有爱护环境的意识和与自然和谐相处的环保理念。</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201"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L081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L0811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具备外语表达沟通能力，达到本专业的要求。</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04"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L0812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理解其他国家历史文化，有跨文化交流能力。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w:t>
            </w:r>
          </w:p>
        </w:tc>
      </w:tr>
      <w:tr>
        <w:tblPrEx>
          <w:tblCellMar>
            <w:top w:w="0" w:type="dxa"/>
            <w:left w:w="108" w:type="dxa"/>
            <w:bottom w:w="0" w:type="dxa"/>
            <w:right w:w="108" w:type="dxa"/>
          </w:tblCellMar>
        </w:tblPrEx>
        <w:trPr>
          <w:trHeight w:val="2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L0813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有国际竞争与合作意识。</w:t>
            </w:r>
          </w:p>
        </w:tc>
        <w:tc>
          <w:tcPr>
            <w:tcW w:w="680" w:type="dxa"/>
            <w:tcBorders>
              <w:top w:val="nil"/>
              <w:left w:val="nil"/>
              <w:bottom w:val="single" w:color="auto" w:sz="4" w:space="0"/>
              <w:right w:val="single" w:color="auto" w:sz="4" w:space="0"/>
            </w:tcBorders>
            <w:vAlign w:val="center"/>
          </w:tcPr>
          <w:p>
            <w:pPr>
              <w:rPr>
                <w:rFonts w:ascii="宋体" w:hAnsi="宋体" w:cs="宋体"/>
                <w:color w:val="000000"/>
                <w:szCs w:val="21"/>
              </w:rPr>
            </w:pPr>
          </w:p>
        </w:tc>
      </w:tr>
      <w:bookmarkEnd w:id="0"/>
    </w:tbl>
    <w:p>
      <w:pPr>
        <w:spacing w:line="360" w:lineRule="auto"/>
      </w:pPr>
    </w:p>
    <w:p>
      <w:pPr>
        <w:rPr>
          <w:szCs w:val="21"/>
        </w:rPr>
      </w:pPr>
    </w:p>
    <w:p>
      <w:pPr>
        <w:adjustRightInd w:val="0"/>
        <w:snapToGrid w:val="0"/>
        <w:spacing w:before="156" w:beforeLines="50" w:after="156" w:afterLines="50" w:line="288" w:lineRule="auto"/>
        <w:ind w:firstLine="348" w:firstLineChars="145"/>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Cs w:val="21"/>
              </w:rPr>
            </w:pPr>
            <w:r>
              <w:rPr>
                <w:rFonts w:hint="eastAsia"/>
                <w:b/>
                <w:color w:val="000000"/>
                <w:szCs w:val="21"/>
              </w:rPr>
              <w:t>序号</w:t>
            </w:r>
          </w:p>
        </w:tc>
        <w:tc>
          <w:tcPr>
            <w:tcW w:w="1175" w:type="dxa"/>
            <w:shd w:val="clear" w:color="auto" w:fill="auto"/>
          </w:tcPr>
          <w:p>
            <w:pPr>
              <w:snapToGrid w:val="0"/>
              <w:spacing w:line="288" w:lineRule="auto"/>
              <w:jc w:val="center"/>
              <w:rPr>
                <w:b/>
                <w:color w:val="000000"/>
                <w:szCs w:val="21"/>
              </w:rPr>
            </w:pPr>
            <w:r>
              <w:rPr>
                <w:rFonts w:hint="eastAsia"/>
                <w:b/>
                <w:color w:val="000000"/>
                <w:szCs w:val="21"/>
              </w:rPr>
              <w:t>课程预期</w:t>
            </w:r>
          </w:p>
          <w:p>
            <w:pPr>
              <w:snapToGrid w:val="0"/>
              <w:spacing w:line="288" w:lineRule="auto"/>
              <w:jc w:val="center"/>
              <w:rPr>
                <w:b/>
                <w:color w:val="000000"/>
                <w:szCs w:val="21"/>
              </w:rPr>
            </w:pPr>
            <w:r>
              <w:rPr>
                <w:rFonts w:hint="eastAsia"/>
                <w:b/>
                <w:color w:val="000000"/>
                <w:szCs w:val="21"/>
              </w:rPr>
              <w:t>学习成果</w:t>
            </w:r>
          </w:p>
        </w:tc>
        <w:tc>
          <w:tcPr>
            <w:tcW w:w="2470" w:type="dxa"/>
            <w:shd w:val="clear" w:color="auto" w:fill="auto"/>
            <w:vAlign w:val="center"/>
          </w:tcPr>
          <w:p>
            <w:pPr>
              <w:snapToGrid w:val="0"/>
              <w:spacing w:line="288" w:lineRule="auto"/>
              <w:jc w:val="center"/>
              <w:rPr>
                <w:b/>
                <w:color w:val="000000"/>
                <w:szCs w:val="21"/>
                <w:highlight w:val="yellow"/>
              </w:rPr>
            </w:pPr>
            <w:r>
              <w:rPr>
                <w:rFonts w:hint="eastAsia"/>
                <w:b/>
                <w:color w:val="000000"/>
                <w:szCs w:val="21"/>
              </w:rPr>
              <w:t>课程目标</w:t>
            </w:r>
          </w:p>
          <w:p>
            <w:pPr>
              <w:snapToGrid w:val="0"/>
              <w:spacing w:line="288" w:lineRule="auto"/>
              <w:jc w:val="center"/>
              <w:rPr>
                <w:b/>
                <w:color w:val="000000"/>
                <w:szCs w:val="21"/>
              </w:rPr>
            </w:pPr>
            <w:r>
              <w:rPr>
                <w:rFonts w:hint="eastAsia"/>
                <w:b/>
                <w:color w:val="000000"/>
                <w:szCs w:val="21"/>
              </w:rPr>
              <w:t>（细化的预期学习成果）</w:t>
            </w:r>
          </w:p>
        </w:tc>
        <w:tc>
          <w:tcPr>
            <w:tcW w:w="2199" w:type="dxa"/>
            <w:shd w:val="clear" w:color="auto" w:fill="auto"/>
            <w:vAlign w:val="center"/>
          </w:tcPr>
          <w:p>
            <w:pPr>
              <w:snapToGrid w:val="0"/>
              <w:spacing w:line="288" w:lineRule="auto"/>
              <w:jc w:val="center"/>
              <w:rPr>
                <w:b/>
                <w:color w:val="000000"/>
                <w:szCs w:val="21"/>
              </w:rPr>
            </w:pPr>
            <w:r>
              <w:rPr>
                <w:rFonts w:hint="eastAsia"/>
                <w:b/>
                <w:color w:val="000000"/>
                <w:szCs w:val="21"/>
              </w:rPr>
              <w:t>教与学方式</w:t>
            </w:r>
          </w:p>
        </w:tc>
        <w:tc>
          <w:tcPr>
            <w:tcW w:w="1276" w:type="dxa"/>
            <w:shd w:val="clear" w:color="auto" w:fill="auto"/>
            <w:vAlign w:val="center"/>
          </w:tcPr>
          <w:p>
            <w:pPr>
              <w:snapToGrid w:val="0"/>
              <w:spacing w:line="288" w:lineRule="auto"/>
              <w:jc w:val="center"/>
              <w:rPr>
                <w:b/>
                <w:color w:val="000000"/>
                <w:szCs w:val="21"/>
              </w:rPr>
            </w:pPr>
            <w:r>
              <w:rPr>
                <w:rFonts w:hint="eastAsia"/>
                <w:b/>
                <w:color w:val="000000"/>
                <w:szCs w:val="21"/>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1175" w:type="dxa"/>
            <w:vMerge w:val="restart"/>
            <w:shd w:val="clear" w:color="auto" w:fill="auto"/>
          </w:tcPr>
          <w:p>
            <w:pPr>
              <w:rPr>
                <w:rFonts w:ascii="仿宋" w:hAnsi="仿宋" w:eastAsia="仿宋" w:cs="宋体"/>
                <w:color w:val="000000"/>
                <w:kern w:val="0"/>
                <w:szCs w:val="21"/>
              </w:rPr>
            </w:pPr>
            <w:r>
              <w:rPr>
                <w:rFonts w:hint="eastAsia" w:ascii="仿宋" w:hAnsi="仿宋" w:eastAsia="仿宋" w:cs="宋体"/>
                <w:color w:val="000000"/>
                <w:kern w:val="0"/>
                <w:szCs w:val="21"/>
              </w:rPr>
              <w:t>LO31</w:t>
            </w:r>
          </w:p>
        </w:tc>
        <w:tc>
          <w:tcPr>
            <w:tcW w:w="2470" w:type="dxa"/>
            <w:shd w:val="clear" w:color="auto" w:fill="auto"/>
          </w:tcPr>
          <w:p>
            <w:pPr>
              <w:rPr>
                <w:rFonts w:ascii="仿宋" w:hAnsi="仿宋" w:eastAsia="仿宋" w:cs="宋体"/>
                <w:color w:val="000000"/>
                <w:kern w:val="0"/>
                <w:szCs w:val="21"/>
              </w:rPr>
            </w:pPr>
            <w:r>
              <w:rPr>
                <w:rFonts w:hint="eastAsia" w:ascii="仿宋" w:hAnsi="仿宋" w:eastAsia="仿宋" w:cs="宋体"/>
                <w:color w:val="000000"/>
                <w:kern w:val="0"/>
                <w:szCs w:val="21"/>
              </w:rPr>
              <w:t>1.</w:t>
            </w:r>
            <w:r>
              <w:rPr>
                <w:rFonts w:hint="eastAsia"/>
                <w:color w:val="000000"/>
                <w:szCs w:val="21"/>
              </w:rPr>
              <w:t>阅读和翻译水平进一步提高</w:t>
            </w:r>
          </w:p>
        </w:tc>
        <w:tc>
          <w:tcPr>
            <w:tcW w:w="2199" w:type="dxa"/>
            <w:shd w:val="clear" w:color="auto" w:fill="auto"/>
          </w:tcPr>
          <w:p>
            <w:pPr>
              <w:snapToGrid w:val="0"/>
              <w:spacing w:line="288" w:lineRule="auto"/>
              <w:rPr>
                <w:color w:val="000000"/>
                <w:szCs w:val="21"/>
              </w:rPr>
            </w:pPr>
          </w:p>
          <w:p>
            <w:pPr>
              <w:snapToGrid w:val="0"/>
              <w:spacing w:line="288" w:lineRule="auto"/>
              <w:rPr>
                <w:rFonts w:ascii="黑体" w:hAnsi="宋体" w:eastAsia="黑体"/>
                <w:szCs w:val="21"/>
              </w:rPr>
            </w:pPr>
            <w:r>
              <w:rPr>
                <w:rFonts w:hint="eastAsia"/>
                <w:color w:val="000000"/>
                <w:szCs w:val="21"/>
              </w:rPr>
              <w:t>思考、讨论、指导</w:t>
            </w:r>
          </w:p>
        </w:tc>
        <w:tc>
          <w:tcPr>
            <w:tcW w:w="1276" w:type="dxa"/>
            <w:shd w:val="clear" w:color="auto" w:fill="auto"/>
          </w:tcPr>
          <w:p>
            <w:pPr>
              <w:snapToGrid w:val="0"/>
              <w:spacing w:line="288" w:lineRule="auto"/>
              <w:jc w:val="center"/>
              <w:rPr>
                <w:rFonts w:ascii="黑体" w:hAnsi="宋体" w:eastAsia="黑体"/>
                <w:szCs w:val="21"/>
              </w:rPr>
            </w:pPr>
          </w:p>
          <w:p>
            <w:pPr>
              <w:snapToGrid w:val="0"/>
              <w:spacing w:line="288" w:lineRule="auto"/>
              <w:jc w:val="center"/>
              <w:rPr>
                <w:rFonts w:ascii="黑体" w:hAnsi="宋体" w:eastAsia="黑体"/>
                <w:szCs w:val="21"/>
              </w:rPr>
            </w:pPr>
            <w:r>
              <w:rPr>
                <w:rFonts w:hint="eastAsia"/>
                <w:color w:val="000000"/>
                <w:szCs w:val="21"/>
              </w:rPr>
              <w:t>期终闭卷考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Cs w:val="21"/>
              </w:rPr>
            </w:pPr>
          </w:p>
        </w:tc>
        <w:tc>
          <w:tcPr>
            <w:tcW w:w="1175" w:type="dxa"/>
            <w:vMerge w:val="continue"/>
            <w:shd w:val="clear" w:color="auto" w:fill="auto"/>
          </w:tcPr>
          <w:p>
            <w:pPr>
              <w:rPr>
                <w:rFonts w:ascii="仿宋" w:hAnsi="仿宋" w:eastAsia="仿宋" w:cs="宋体"/>
                <w:color w:val="000000"/>
                <w:kern w:val="0"/>
                <w:szCs w:val="21"/>
              </w:rPr>
            </w:pPr>
          </w:p>
        </w:tc>
        <w:tc>
          <w:tcPr>
            <w:tcW w:w="2470" w:type="dxa"/>
            <w:shd w:val="clear" w:color="auto" w:fill="auto"/>
          </w:tcPr>
          <w:p>
            <w:pPr>
              <w:rPr>
                <w:rFonts w:ascii="仿宋" w:hAnsi="仿宋" w:eastAsia="仿宋" w:cs="宋体"/>
                <w:color w:val="000000"/>
                <w:kern w:val="0"/>
                <w:szCs w:val="21"/>
              </w:rPr>
            </w:pPr>
            <w:r>
              <w:rPr>
                <w:rFonts w:hint="eastAsia" w:ascii="仿宋" w:hAnsi="仿宋" w:eastAsia="仿宋" w:cs="宋体"/>
                <w:color w:val="000000"/>
                <w:kern w:val="0"/>
                <w:szCs w:val="21"/>
              </w:rPr>
              <w:t>2.</w:t>
            </w:r>
            <w:r>
              <w:rPr>
                <w:rFonts w:hint="eastAsia" w:ascii="宋体" w:hAnsi="宋体" w:cs="宋体"/>
                <w:color w:val="000000"/>
                <w:kern w:val="0"/>
                <w:szCs w:val="21"/>
              </w:rPr>
              <w:t>了解各种</w:t>
            </w:r>
            <w:r>
              <w:rPr>
                <w:rFonts w:hint="eastAsia"/>
                <w:color w:val="000000"/>
                <w:szCs w:val="21"/>
              </w:rPr>
              <w:t>文化与跨文化</w:t>
            </w:r>
          </w:p>
        </w:tc>
        <w:tc>
          <w:tcPr>
            <w:tcW w:w="2199" w:type="dxa"/>
            <w:shd w:val="clear" w:color="auto" w:fill="auto"/>
          </w:tcPr>
          <w:p>
            <w:pPr>
              <w:snapToGrid w:val="0"/>
              <w:spacing w:line="288" w:lineRule="auto"/>
              <w:rPr>
                <w:color w:val="000000"/>
                <w:szCs w:val="21"/>
              </w:rPr>
            </w:pPr>
          </w:p>
          <w:p>
            <w:pPr>
              <w:snapToGrid w:val="0"/>
              <w:spacing w:line="288" w:lineRule="auto"/>
              <w:rPr>
                <w:rFonts w:ascii="黑体" w:hAnsi="宋体" w:eastAsia="黑体"/>
                <w:szCs w:val="21"/>
              </w:rPr>
            </w:pPr>
            <w:r>
              <w:rPr>
                <w:rFonts w:hint="eastAsia"/>
                <w:color w:val="000000"/>
                <w:szCs w:val="21"/>
              </w:rPr>
              <w:t>思考、讨论、指导</w:t>
            </w:r>
          </w:p>
        </w:tc>
        <w:tc>
          <w:tcPr>
            <w:tcW w:w="1276" w:type="dxa"/>
            <w:shd w:val="clear" w:color="auto" w:fill="auto"/>
          </w:tcPr>
          <w:p>
            <w:pPr>
              <w:snapToGrid w:val="0"/>
              <w:spacing w:line="288" w:lineRule="auto"/>
              <w:jc w:val="center"/>
              <w:rPr>
                <w:color w:val="000000"/>
                <w:szCs w:val="21"/>
              </w:rPr>
            </w:pPr>
          </w:p>
          <w:p>
            <w:pPr>
              <w:snapToGrid w:val="0"/>
              <w:spacing w:line="288" w:lineRule="auto"/>
              <w:jc w:val="center"/>
              <w:rPr>
                <w:rFonts w:ascii="黑体" w:hAnsi="宋体" w:eastAsia="黑体"/>
                <w:szCs w:val="21"/>
              </w:rPr>
            </w:pPr>
            <w:r>
              <w:rPr>
                <w:rFonts w:hint="eastAsia"/>
                <w:color w:val="000000"/>
                <w:szCs w:val="21"/>
              </w:rPr>
              <w:t>期终闭卷考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Cs w:val="21"/>
              </w:rPr>
            </w:pPr>
          </w:p>
        </w:tc>
        <w:tc>
          <w:tcPr>
            <w:tcW w:w="1175" w:type="dxa"/>
            <w:vMerge w:val="continue"/>
            <w:shd w:val="clear" w:color="auto" w:fill="auto"/>
          </w:tcPr>
          <w:p>
            <w:pPr>
              <w:rPr>
                <w:rFonts w:ascii="仿宋" w:hAnsi="仿宋" w:eastAsia="仿宋" w:cs="宋体"/>
                <w:color w:val="000000"/>
                <w:kern w:val="0"/>
                <w:szCs w:val="21"/>
              </w:rPr>
            </w:pPr>
          </w:p>
        </w:tc>
        <w:tc>
          <w:tcPr>
            <w:tcW w:w="2470" w:type="dxa"/>
            <w:shd w:val="clear" w:color="auto" w:fill="auto"/>
          </w:tcPr>
          <w:p>
            <w:pPr>
              <w:rPr>
                <w:rFonts w:ascii="仿宋" w:hAnsi="仿宋" w:eastAsia="仿宋" w:cs="宋体"/>
                <w:color w:val="000000"/>
                <w:kern w:val="0"/>
                <w:szCs w:val="21"/>
              </w:rPr>
            </w:pPr>
            <w:r>
              <w:rPr>
                <w:rFonts w:hint="eastAsia" w:ascii="仿宋" w:hAnsi="仿宋" w:eastAsia="仿宋" w:cs="宋体"/>
                <w:color w:val="000000"/>
                <w:kern w:val="0"/>
                <w:szCs w:val="21"/>
              </w:rPr>
              <w:t>3.</w:t>
            </w:r>
            <w:r>
              <w:rPr>
                <w:rFonts w:hint="eastAsia" w:ascii="宋体" w:hAnsi="宋体" w:cs="宋体"/>
                <w:color w:val="000000"/>
                <w:kern w:val="0"/>
                <w:szCs w:val="21"/>
              </w:rPr>
              <w:t>进一步巩固与掌握德语语言知识</w:t>
            </w:r>
          </w:p>
        </w:tc>
        <w:tc>
          <w:tcPr>
            <w:tcW w:w="2199" w:type="dxa"/>
            <w:shd w:val="clear" w:color="auto" w:fill="auto"/>
          </w:tcPr>
          <w:p>
            <w:pPr>
              <w:snapToGrid w:val="0"/>
              <w:spacing w:line="288" w:lineRule="auto"/>
              <w:jc w:val="center"/>
              <w:rPr>
                <w:color w:val="000000"/>
                <w:szCs w:val="21"/>
              </w:rPr>
            </w:pPr>
          </w:p>
          <w:p>
            <w:pPr>
              <w:snapToGrid w:val="0"/>
              <w:spacing w:line="288" w:lineRule="auto"/>
              <w:jc w:val="center"/>
              <w:rPr>
                <w:rFonts w:ascii="黑体" w:hAnsi="宋体" w:eastAsia="黑体"/>
                <w:szCs w:val="21"/>
              </w:rPr>
            </w:pPr>
            <w:r>
              <w:rPr>
                <w:rFonts w:hint="eastAsia"/>
                <w:color w:val="000000"/>
                <w:szCs w:val="21"/>
              </w:rPr>
              <w:t>思考、讨论、指导</w:t>
            </w:r>
          </w:p>
        </w:tc>
        <w:tc>
          <w:tcPr>
            <w:tcW w:w="1276" w:type="dxa"/>
            <w:shd w:val="clear" w:color="auto" w:fill="auto"/>
          </w:tcPr>
          <w:p>
            <w:pPr>
              <w:snapToGrid w:val="0"/>
              <w:spacing w:line="288" w:lineRule="auto"/>
              <w:jc w:val="center"/>
              <w:rPr>
                <w:rFonts w:ascii="黑体" w:hAnsi="宋体" w:eastAsia="黑体"/>
                <w:szCs w:val="21"/>
              </w:rPr>
            </w:pPr>
          </w:p>
          <w:p>
            <w:pPr>
              <w:snapToGrid w:val="0"/>
              <w:spacing w:line="288" w:lineRule="auto"/>
              <w:jc w:val="center"/>
              <w:rPr>
                <w:rFonts w:ascii="黑体" w:hAnsi="宋体" w:eastAsia="黑体"/>
                <w:szCs w:val="21"/>
              </w:rPr>
            </w:pPr>
            <w:r>
              <w:rPr>
                <w:rFonts w:hint="eastAsia"/>
                <w:color w:val="000000"/>
                <w:szCs w:val="21"/>
              </w:rPr>
              <w:t>期终闭卷考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1175" w:type="dxa"/>
            <w:shd w:val="clear" w:color="auto" w:fill="auto"/>
          </w:tcPr>
          <w:p>
            <w:pPr>
              <w:rPr>
                <w:rFonts w:ascii="仿宋" w:hAnsi="仿宋" w:eastAsia="仿宋" w:cs="宋体"/>
                <w:color w:val="000000"/>
                <w:kern w:val="0"/>
                <w:szCs w:val="21"/>
              </w:rPr>
            </w:pPr>
            <w:r>
              <w:rPr>
                <w:rFonts w:hint="eastAsia" w:ascii="仿宋" w:hAnsi="仿宋" w:eastAsia="仿宋" w:cs="宋体"/>
                <w:color w:val="000000"/>
                <w:kern w:val="0"/>
                <w:szCs w:val="21"/>
              </w:rPr>
              <w:t>LO81</w:t>
            </w:r>
          </w:p>
        </w:tc>
        <w:tc>
          <w:tcPr>
            <w:tcW w:w="2470" w:type="dxa"/>
            <w:shd w:val="clear" w:color="auto" w:fill="auto"/>
          </w:tcPr>
          <w:p>
            <w:pPr>
              <w:rPr>
                <w:rFonts w:ascii="仿宋" w:hAnsi="仿宋" w:eastAsia="仿宋" w:cs="宋体"/>
                <w:color w:val="000000"/>
                <w:kern w:val="0"/>
                <w:szCs w:val="21"/>
              </w:rPr>
            </w:pPr>
            <w:r>
              <w:rPr>
                <w:rFonts w:hint="eastAsia" w:ascii="仿宋" w:hAnsi="仿宋" w:eastAsia="仿宋" w:cs="宋体"/>
                <w:color w:val="000000"/>
                <w:kern w:val="0"/>
                <w:szCs w:val="21"/>
              </w:rPr>
              <w:t>1.</w:t>
            </w:r>
            <w:r>
              <w:rPr>
                <w:rFonts w:hint="eastAsia" w:ascii="宋体" w:hAnsi="宋体" w:cs="宋体"/>
                <w:color w:val="000000"/>
                <w:kern w:val="0"/>
                <w:szCs w:val="21"/>
              </w:rPr>
              <w:t>具备外语表达沟通能力，达到本专业的要求</w:t>
            </w:r>
          </w:p>
        </w:tc>
        <w:tc>
          <w:tcPr>
            <w:tcW w:w="2199" w:type="dxa"/>
            <w:shd w:val="clear" w:color="auto" w:fill="auto"/>
          </w:tcPr>
          <w:p>
            <w:pPr>
              <w:snapToGrid w:val="0"/>
              <w:spacing w:line="288" w:lineRule="auto"/>
              <w:jc w:val="center"/>
              <w:rPr>
                <w:rFonts w:ascii="黑体" w:hAnsi="宋体" w:eastAsia="黑体"/>
                <w:szCs w:val="21"/>
              </w:rPr>
            </w:pPr>
          </w:p>
          <w:p>
            <w:pPr>
              <w:snapToGrid w:val="0"/>
              <w:spacing w:line="288" w:lineRule="auto"/>
              <w:jc w:val="center"/>
              <w:rPr>
                <w:rFonts w:ascii="黑体" w:hAnsi="宋体" w:eastAsia="黑体"/>
                <w:szCs w:val="21"/>
              </w:rPr>
            </w:pPr>
            <w:r>
              <w:rPr>
                <w:rFonts w:hint="eastAsia"/>
                <w:color w:val="000000"/>
                <w:szCs w:val="21"/>
              </w:rPr>
              <w:t>思考、讨论、指导</w:t>
            </w:r>
          </w:p>
        </w:tc>
        <w:tc>
          <w:tcPr>
            <w:tcW w:w="1276" w:type="dxa"/>
            <w:shd w:val="clear" w:color="auto" w:fill="auto"/>
          </w:tcPr>
          <w:p>
            <w:pPr>
              <w:snapToGrid w:val="0"/>
              <w:spacing w:line="288" w:lineRule="auto"/>
              <w:jc w:val="center"/>
              <w:rPr>
                <w:rFonts w:ascii="黑体" w:hAnsi="宋体" w:eastAsia="黑体"/>
                <w:szCs w:val="21"/>
              </w:rPr>
            </w:pPr>
          </w:p>
          <w:p>
            <w:pPr>
              <w:snapToGrid w:val="0"/>
              <w:spacing w:line="288" w:lineRule="auto"/>
              <w:jc w:val="center"/>
              <w:rPr>
                <w:rFonts w:ascii="黑体" w:hAnsi="宋体" w:eastAsia="黑体"/>
                <w:szCs w:val="21"/>
              </w:rPr>
            </w:pPr>
            <w:r>
              <w:rPr>
                <w:rFonts w:hint="eastAsia"/>
                <w:color w:val="000000"/>
                <w:szCs w:val="21"/>
              </w:rPr>
              <w:t>期终闭卷考</w:t>
            </w:r>
          </w:p>
        </w:tc>
      </w:tr>
    </w:tbl>
    <w:p>
      <w:pPr>
        <w:snapToGrid w:val="0"/>
        <w:spacing w:line="288" w:lineRule="auto"/>
        <w:rPr>
          <w:rFonts w:ascii="黑体" w:hAnsi="宋体" w:eastAsia="黑体"/>
          <w:szCs w:val="21"/>
        </w:rPr>
      </w:pPr>
    </w:p>
    <w:p>
      <w:pPr>
        <w:adjustRightInd w:val="0"/>
        <w:snapToGrid w:val="0"/>
        <w:spacing w:before="156" w:beforeLines="50" w:after="156" w:afterLines="50" w:line="288" w:lineRule="auto"/>
        <w:ind w:firstLine="348" w:firstLineChars="145"/>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ind w:firstLine="400" w:firstLineChars="200"/>
        <w:rPr>
          <w:rFonts w:ascii="宋体" w:hAnsi="宋体"/>
          <w:sz w:val="20"/>
          <w:szCs w:val="20"/>
        </w:rPr>
      </w:pPr>
      <w:r>
        <w:rPr>
          <w:rFonts w:hint="eastAsia"/>
          <w:bCs/>
          <w:sz w:val="20"/>
          <w:szCs w:val="20"/>
        </w:rPr>
        <w:t>本课程总课时为96学时，理论课时为64学时，实践课时为32学时。</w:t>
      </w:r>
    </w:p>
    <w:p>
      <w:pPr>
        <w:snapToGrid w:val="0"/>
        <w:spacing w:line="288" w:lineRule="auto"/>
        <w:rPr>
          <w:rFonts w:ascii="黑体" w:hAnsi="宋体" w:eastAsia="黑体"/>
          <w:szCs w:val="21"/>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714"/>
        <w:gridCol w:w="1786"/>
        <w:gridCol w:w="162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80" w:type="dxa"/>
          </w:tcPr>
          <w:p>
            <w:pPr>
              <w:snapToGrid w:val="0"/>
              <w:spacing w:line="288" w:lineRule="auto"/>
              <w:rPr>
                <w:rFonts w:ascii="宋体" w:hAnsi="宋体"/>
                <w:sz w:val="20"/>
                <w:szCs w:val="20"/>
              </w:rPr>
            </w:pPr>
            <w:r>
              <w:rPr>
                <w:rFonts w:hint="eastAsia" w:ascii="宋体" w:hAnsi="宋体"/>
                <w:b/>
                <w:szCs w:val="21"/>
              </w:rPr>
              <w:t>单元</w:t>
            </w:r>
          </w:p>
        </w:tc>
        <w:tc>
          <w:tcPr>
            <w:tcW w:w="2714" w:type="dxa"/>
          </w:tcPr>
          <w:p>
            <w:pPr>
              <w:snapToGrid w:val="0"/>
              <w:spacing w:line="288" w:lineRule="auto"/>
              <w:jc w:val="center"/>
              <w:rPr>
                <w:rFonts w:ascii="宋体" w:hAnsi="宋体"/>
                <w:sz w:val="18"/>
                <w:szCs w:val="20"/>
              </w:rPr>
            </w:pPr>
            <w:r>
              <w:rPr>
                <w:rFonts w:hint="eastAsia" w:ascii="宋体" w:hAnsi="宋体"/>
                <w:sz w:val="18"/>
                <w:szCs w:val="20"/>
              </w:rPr>
              <w:t>知识点</w:t>
            </w:r>
          </w:p>
        </w:tc>
        <w:tc>
          <w:tcPr>
            <w:tcW w:w="1786" w:type="dxa"/>
          </w:tcPr>
          <w:p>
            <w:pPr>
              <w:snapToGrid w:val="0"/>
              <w:spacing w:line="288" w:lineRule="auto"/>
              <w:jc w:val="center"/>
              <w:rPr>
                <w:rFonts w:ascii="宋体" w:hAnsi="宋体"/>
                <w:sz w:val="18"/>
                <w:szCs w:val="20"/>
              </w:rPr>
            </w:pPr>
            <w:r>
              <w:rPr>
                <w:rFonts w:hint="eastAsia" w:ascii="宋体" w:hAnsi="宋体"/>
                <w:sz w:val="18"/>
                <w:szCs w:val="20"/>
              </w:rPr>
              <w:t>能力要求</w:t>
            </w:r>
          </w:p>
        </w:tc>
        <w:tc>
          <w:tcPr>
            <w:tcW w:w="1621" w:type="dxa"/>
          </w:tcPr>
          <w:p>
            <w:pPr>
              <w:snapToGrid w:val="0"/>
              <w:spacing w:line="288" w:lineRule="auto"/>
              <w:jc w:val="center"/>
              <w:rPr>
                <w:rFonts w:ascii="宋体" w:hAnsi="宋体"/>
                <w:sz w:val="18"/>
                <w:szCs w:val="20"/>
              </w:rPr>
            </w:pPr>
            <w:r>
              <w:rPr>
                <w:rFonts w:hint="eastAsia" w:ascii="宋体" w:hAnsi="宋体"/>
                <w:sz w:val="18"/>
                <w:szCs w:val="20"/>
              </w:rPr>
              <w:t>教学难点</w:t>
            </w:r>
          </w:p>
        </w:tc>
        <w:tc>
          <w:tcPr>
            <w:tcW w:w="1621" w:type="dxa"/>
          </w:tcPr>
          <w:p>
            <w:pPr>
              <w:snapToGrid w:val="0"/>
              <w:spacing w:line="288" w:lineRule="auto"/>
              <w:jc w:val="center"/>
              <w:rPr>
                <w:rFonts w:ascii="宋体" w:hAnsi="宋体"/>
                <w:sz w:val="18"/>
                <w:szCs w:val="20"/>
              </w:rPr>
            </w:pPr>
            <w:r>
              <w:rPr>
                <w:rFonts w:hint="eastAsia" w:ascii="宋体" w:hAnsi="宋体"/>
                <w:sz w:val="18"/>
                <w:szCs w:val="20"/>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pPr>
              <w:snapToGrid w:val="0"/>
              <w:spacing w:line="288" w:lineRule="auto"/>
              <w:rPr>
                <w:rFonts w:ascii="宋体" w:hAnsi="宋体"/>
                <w:sz w:val="20"/>
                <w:szCs w:val="20"/>
              </w:rPr>
            </w:pPr>
            <w:r>
              <w:rPr>
                <w:rFonts w:hint="eastAsia"/>
                <w:color w:val="000000"/>
                <w:szCs w:val="21"/>
              </w:rPr>
              <w:t>第一单元：饮食</w:t>
            </w:r>
          </w:p>
        </w:tc>
        <w:tc>
          <w:tcPr>
            <w:tcW w:w="2714" w:type="dxa"/>
          </w:tcPr>
          <w:p>
            <w:pPr>
              <w:snapToGrid w:val="0"/>
              <w:spacing w:line="288" w:lineRule="auto"/>
              <w:rPr>
                <w:szCs w:val="21"/>
              </w:rPr>
            </w:pPr>
            <w:r>
              <w:rPr>
                <w:rFonts w:hint="eastAsia" w:ascii="宋体" w:hAnsi="宋体"/>
                <w:szCs w:val="21"/>
              </w:rPr>
              <w:t>第一课：</w:t>
            </w:r>
            <w:r>
              <w:rPr>
                <w:rFonts w:hint="eastAsia"/>
                <w:szCs w:val="21"/>
              </w:rPr>
              <w:t>美食家的区域多样性</w:t>
            </w:r>
          </w:p>
          <w:p>
            <w:pPr>
              <w:jc w:val="left"/>
              <w:rPr>
                <w:szCs w:val="21"/>
              </w:rPr>
            </w:pPr>
            <w:r>
              <w:rPr>
                <w:rFonts w:hint="eastAsia"/>
                <w:szCs w:val="21"/>
              </w:rPr>
              <w:t>课文1：中餐的多样性-中国地方菜系</w:t>
            </w:r>
          </w:p>
          <w:p>
            <w:pPr>
              <w:jc w:val="left"/>
              <w:rPr>
                <w:szCs w:val="21"/>
              </w:rPr>
            </w:pPr>
            <w:r>
              <w:rPr>
                <w:rFonts w:hint="eastAsia"/>
                <w:szCs w:val="21"/>
              </w:rPr>
              <w:t>课文2：永远忘记烹饪锅</w:t>
            </w:r>
          </w:p>
          <w:p>
            <w:pPr>
              <w:numPr>
                <w:ilvl w:val="0"/>
                <w:numId w:val="1"/>
              </w:numPr>
              <w:rPr>
                <w:rFonts w:ascii="Helvetica" w:hAnsi="Helvetica" w:cs="Helvetica"/>
                <w:bCs/>
                <w:szCs w:val="21"/>
                <w:shd w:val="clear" w:color="auto" w:fill="FFFFFF"/>
              </w:rPr>
            </w:pPr>
            <w:r>
              <w:rPr>
                <w:rFonts w:hint="eastAsia" w:ascii="Helvetica" w:hAnsi="Helvetica" w:cs="Helvetica"/>
                <w:bCs/>
                <w:szCs w:val="21"/>
                <w:shd w:val="clear" w:color="auto" w:fill="FFFFFF"/>
              </w:rPr>
              <w:t>还有什么可以喝的？</w:t>
            </w:r>
          </w:p>
          <w:p>
            <w:pPr>
              <w:rPr>
                <w:rFonts w:ascii="Helvetica" w:hAnsi="Helvetica" w:cs="Helvetica"/>
                <w:bCs/>
                <w:szCs w:val="21"/>
                <w:shd w:val="clear" w:color="auto" w:fill="FFFFFF"/>
              </w:rPr>
            </w:pPr>
            <w:r>
              <w:rPr>
                <w:rFonts w:hint="eastAsia" w:ascii="Helvetica" w:hAnsi="Helvetica" w:cs="Helvetica"/>
                <w:bCs/>
                <w:szCs w:val="21"/>
                <w:shd w:val="clear" w:color="auto" w:fill="FFFFFF"/>
              </w:rPr>
              <w:t>课文1 德国的饮料消费</w:t>
            </w:r>
          </w:p>
          <w:p>
            <w:pPr>
              <w:rPr>
                <w:rFonts w:ascii="Helvetica" w:hAnsi="Helvetica" w:cs="Helvetica"/>
                <w:bCs/>
                <w:szCs w:val="21"/>
                <w:shd w:val="clear" w:color="auto" w:fill="FFFFFF"/>
              </w:rPr>
            </w:pPr>
            <w:r>
              <w:rPr>
                <w:rFonts w:hint="eastAsia" w:ascii="Helvetica" w:hAnsi="Helvetica" w:cs="Helvetica"/>
                <w:bCs/>
                <w:szCs w:val="21"/>
                <w:shd w:val="clear" w:color="auto" w:fill="FFFFFF"/>
              </w:rPr>
              <w:t>课文2日常生活中的茶道礼仪</w:t>
            </w:r>
          </w:p>
          <w:p>
            <w:pPr>
              <w:rPr>
                <w:bCs/>
                <w:szCs w:val="21"/>
                <w:lang w:val="de-DE"/>
              </w:rPr>
            </w:pPr>
            <w:r>
              <w:rPr>
                <w:rFonts w:hint="eastAsia"/>
                <w:bCs/>
                <w:szCs w:val="21"/>
                <w:lang w:val="de-DE"/>
              </w:rPr>
              <w:t>第三课：以食物为主题</w:t>
            </w:r>
          </w:p>
          <w:p>
            <w:pPr>
              <w:rPr>
                <w:bCs/>
                <w:szCs w:val="21"/>
                <w:lang w:val="de-DE"/>
              </w:rPr>
            </w:pPr>
            <w:r>
              <w:rPr>
                <w:rFonts w:hint="eastAsia" w:ascii="Helvetica" w:hAnsi="Helvetica" w:cs="Helvetica"/>
                <w:bCs/>
                <w:szCs w:val="21"/>
                <w:shd w:val="clear" w:color="auto" w:fill="FFFFFF"/>
                <w:lang w:val="de-DE"/>
              </w:rPr>
              <w:t xml:space="preserve">课文1 </w:t>
            </w:r>
            <w:r>
              <w:rPr>
                <w:rFonts w:hint="eastAsia"/>
                <w:bCs/>
                <w:szCs w:val="21"/>
                <w:lang w:val="de-DE"/>
              </w:rPr>
              <w:t>有机繁荣，但...</w:t>
            </w:r>
          </w:p>
          <w:p>
            <w:pPr>
              <w:rPr>
                <w:rFonts w:ascii="Helvetica" w:hAnsi="Helvetica" w:cs="Helvetica"/>
                <w:bCs/>
                <w:szCs w:val="21"/>
                <w:shd w:val="clear" w:color="auto" w:fill="FFFFFF"/>
                <w:lang w:val="de-DE"/>
              </w:rPr>
            </w:pPr>
            <w:r>
              <w:rPr>
                <w:rFonts w:hint="eastAsia" w:ascii="Helvetica" w:hAnsi="Helvetica" w:cs="Helvetica"/>
                <w:bCs/>
                <w:szCs w:val="21"/>
                <w:shd w:val="clear" w:color="auto" w:fill="FFFFFF"/>
                <w:lang w:val="de-DE"/>
              </w:rPr>
              <w:t>课文2 体面地吃！？</w:t>
            </w:r>
          </w:p>
          <w:p>
            <w:pPr>
              <w:rPr>
                <w:bCs/>
                <w:szCs w:val="21"/>
                <w:lang w:val="de-DE"/>
              </w:rPr>
            </w:pPr>
            <w:r>
              <w:rPr>
                <w:rFonts w:hint="eastAsia"/>
                <w:bCs/>
                <w:szCs w:val="21"/>
                <w:lang w:val="de-DE"/>
              </w:rPr>
              <w:t>语法：反身代词的归纳</w:t>
            </w:r>
          </w:p>
          <w:p>
            <w:pPr>
              <w:snapToGrid w:val="0"/>
              <w:spacing w:line="288" w:lineRule="auto"/>
              <w:rPr>
                <w:rFonts w:ascii="宋体" w:hAnsi="宋体"/>
                <w:sz w:val="18"/>
                <w:szCs w:val="20"/>
              </w:rPr>
            </w:pPr>
            <w:r>
              <w:rPr>
                <w:rFonts w:hint="eastAsia"/>
                <w:bCs/>
                <w:szCs w:val="21"/>
              </w:rPr>
              <w:t xml:space="preserve">      现在时与过去时</w:t>
            </w:r>
            <w:r>
              <w:rPr>
                <w:rFonts w:hint="eastAsia"/>
                <w:bCs/>
                <w:szCs w:val="21"/>
                <w:lang w:val="de-DE"/>
              </w:rPr>
              <w:t>的归纳</w:t>
            </w:r>
          </w:p>
        </w:tc>
        <w:tc>
          <w:tcPr>
            <w:tcW w:w="1786" w:type="dxa"/>
          </w:tcPr>
          <w:p>
            <w:pPr>
              <w:snapToGrid w:val="0"/>
              <w:spacing w:line="288" w:lineRule="auto"/>
              <w:rPr>
                <w:rFonts w:ascii="宋体" w:hAnsi="宋体"/>
                <w:sz w:val="18"/>
                <w:szCs w:val="20"/>
              </w:rPr>
            </w:pPr>
            <w:r>
              <w:rPr>
                <w:rFonts w:hint="eastAsia"/>
                <w:b/>
                <w:szCs w:val="21"/>
              </w:rPr>
              <w:t>理解</w:t>
            </w:r>
            <w:r>
              <w:rPr>
                <w:rFonts w:hint="eastAsia"/>
                <w:szCs w:val="21"/>
              </w:rPr>
              <w:t>文章作者写作的意图；</w:t>
            </w:r>
            <w:r>
              <w:rPr>
                <w:rFonts w:hint="eastAsia"/>
                <w:b/>
                <w:bCs/>
                <w:szCs w:val="21"/>
              </w:rPr>
              <w:t>知道</w:t>
            </w:r>
            <w:r>
              <w:rPr>
                <w:rFonts w:hint="eastAsia"/>
                <w:szCs w:val="21"/>
              </w:rPr>
              <w:t>餐饮文化的多样性，餐饮礼仪，健康的饮食；通过课文阅读</w:t>
            </w:r>
            <w:r>
              <w:rPr>
                <w:rFonts w:hint="eastAsia"/>
                <w:b/>
                <w:bCs/>
                <w:szCs w:val="21"/>
              </w:rPr>
              <w:t>分析</w:t>
            </w:r>
            <w:r>
              <w:rPr>
                <w:rFonts w:hint="eastAsia"/>
                <w:szCs w:val="21"/>
              </w:rPr>
              <w:t>与归纳反身代词的要素和用途，</w:t>
            </w:r>
            <w:r>
              <w:rPr>
                <w:rFonts w:hint="eastAsia"/>
                <w:bCs/>
                <w:szCs w:val="21"/>
              </w:rPr>
              <w:t>现在时与过去时的多种用途。</w:t>
            </w:r>
          </w:p>
        </w:tc>
        <w:tc>
          <w:tcPr>
            <w:tcW w:w="1621" w:type="dxa"/>
          </w:tcPr>
          <w:p>
            <w:pPr>
              <w:snapToGrid w:val="0"/>
              <w:spacing w:line="288" w:lineRule="auto"/>
              <w:rPr>
                <w:rFonts w:ascii="宋体" w:hAnsi="宋体"/>
                <w:sz w:val="18"/>
                <w:szCs w:val="20"/>
              </w:rPr>
            </w:pPr>
            <w:r>
              <w:rPr>
                <w:rFonts w:hint="eastAsia" w:ascii="仿宋_GB2312" w:hAnsi="宋体" w:eastAsia="仿宋_GB2312"/>
                <w:bCs/>
                <w:szCs w:val="21"/>
              </w:rPr>
              <w:t>重点是让学生通过阅读提出问题并发现理解课文的难点。如何正确地理解课文，必须结合上下文，正确分析句子结构及多阶从句。</w:t>
            </w:r>
          </w:p>
        </w:tc>
        <w:tc>
          <w:tcPr>
            <w:tcW w:w="1621" w:type="dxa"/>
          </w:tcPr>
          <w:p>
            <w:pPr>
              <w:snapToGrid w:val="0"/>
              <w:spacing w:line="288" w:lineRule="auto"/>
              <w:rPr>
                <w:rFonts w:ascii="宋体" w:hAnsi="宋体"/>
                <w:sz w:val="18"/>
                <w:szCs w:val="20"/>
              </w:rPr>
            </w:pPr>
            <w:r>
              <w:rPr>
                <w:rFonts w:hint="eastAsia" w:ascii="宋体" w:hAnsi="宋体"/>
                <w:sz w:val="18"/>
                <w:szCs w:val="20"/>
              </w:rPr>
              <w:t>2</w:t>
            </w:r>
            <w:r>
              <w:rPr>
                <w:rFonts w:ascii="宋体" w:hAnsi="宋体"/>
                <w:sz w:val="18"/>
                <w:szCs w:val="20"/>
              </w:rPr>
              <w:t>8</w:t>
            </w:r>
            <w:r>
              <w:rPr>
                <w:rFonts w:hint="eastAsia" w:ascii="宋体" w:hAnsi="宋体"/>
                <w:sz w:val="18"/>
                <w:szCs w:val="20"/>
              </w:rPr>
              <w:t>理论课时</w:t>
            </w:r>
          </w:p>
          <w:p>
            <w:pPr>
              <w:snapToGrid w:val="0"/>
              <w:spacing w:line="288" w:lineRule="auto"/>
              <w:rPr>
                <w:rFonts w:hint="eastAsia" w:ascii="宋体" w:hAnsi="宋体"/>
                <w:sz w:val="18"/>
                <w:szCs w:val="20"/>
              </w:rPr>
            </w:pPr>
            <w:r>
              <w:rPr>
                <w:rFonts w:hint="eastAsia" w:ascii="宋体" w:hAnsi="宋体"/>
                <w:sz w:val="18"/>
                <w:szCs w:val="20"/>
              </w:rPr>
              <w:t>1</w:t>
            </w:r>
            <w:r>
              <w:rPr>
                <w:rFonts w:ascii="宋体" w:hAnsi="宋体"/>
                <w:sz w:val="18"/>
                <w:szCs w:val="20"/>
              </w:rPr>
              <w:t>4</w:t>
            </w:r>
            <w:r>
              <w:rPr>
                <w:rFonts w:hint="eastAsia" w:ascii="宋体" w:hAnsi="宋体"/>
                <w:sz w:val="18"/>
                <w:szCs w:val="20"/>
              </w:rPr>
              <w:t>实践课时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pPr>
              <w:snapToGrid w:val="0"/>
              <w:spacing w:line="288" w:lineRule="auto"/>
              <w:rPr>
                <w:rFonts w:ascii="宋体" w:hAnsi="宋体"/>
                <w:sz w:val="20"/>
                <w:szCs w:val="20"/>
              </w:rPr>
            </w:pPr>
            <w:r>
              <w:rPr>
                <w:rFonts w:hint="eastAsia"/>
                <w:color w:val="000000"/>
                <w:szCs w:val="21"/>
              </w:rPr>
              <w:t>第二单元：购买和消费</w:t>
            </w:r>
          </w:p>
        </w:tc>
        <w:tc>
          <w:tcPr>
            <w:tcW w:w="2714" w:type="dxa"/>
          </w:tcPr>
          <w:p>
            <w:pPr>
              <w:rPr>
                <w:rFonts w:ascii="Helvetica" w:hAnsi="Helvetica" w:cs="Helvetica"/>
                <w:bCs/>
                <w:szCs w:val="21"/>
                <w:shd w:val="clear" w:color="auto" w:fill="FFFFFF"/>
                <w:lang w:val="de-DE"/>
              </w:rPr>
            </w:pPr>
            <w:r>
              <w:rPr>
                <w:rFonts w:hint="eastAsia" w:ascii="Helvetica" w:hAnsi="Helvetica" w:cs="Helvetica"/>
                <w:bCs/>
                <w:szCs w:val="21"/>
                <w:shd w:val="clear" w:color="auto" w:fill="FFFFFF"/>
                <w:lang w:val="de-DE"/>
              </w:rPr>
              <w:t>第四课消费者行为</w:t>
            </w:r>
          </w:p>
          <w:p>
            <w:pPr>
              <w:rPr>
                <w:rFonts w:cs="Helvetica" w:asciiTheme="minorEastAsia" w:hAnsiTheme="minorEastAsia"/>
                <w:bCs/>
                <w:szCs w:val="21"/>
                <w:shd w:val="clear" w:color="auto" w:fill="FFFFFF"/>
                <w:lang w:val="de-DE"/>
              </w:rPr>
            </w:pPr>
            <w:r>
              <w:rPr>
                <w:rFonts w:hint="eastAsia" w:cs="Helvetica" w:asciiTheme="minorEastAsia" w:hAnsiTheme="minorEastAsia"/>
                <w:bCs/>
                <w:szCs w:val="21"/>
                <w:shd w:val="clear" w:color="auto" w:fill="FFFFFF"/>
                <w:lang w:val="de-DE"/>
              </w:rPr>
              <w:t>课文1有良知的消费</w:t>
            </w:r>
          </w:p>
          <w:p>
            <w:pPr>
              <w:rPr>
                <w:rFonts w:cs="Helvetica" w:asciiTheme="minorEastAsia" w:hAnsiTheme="minorEastAsia"/>
                <w:szCs w:val="21"/>
                <w:shd w:val="clear" w:color="auto" w:fill="FFFFFF"/>
                <w:lang w:val="de-DE"/>
              </w:rPr>
            </w:pPr>
            <w:r>
              <w:rPr>
                <w:rFonts w:hint="eastAsia" w:cs="Helvetica" w:asciiTheme="minorEastAsia" w:hAnsiTheme="minorEastAsia"/>
                <w:szCs w:val="21"/>
                <w:shd w:val="clear" w:color="auto" w:fill="FFFFFF"/>
                <w:lang w:val="de-DE"/>
              </w:rPr>
              <w:t>课文2  购物狂</w:t>
            </w:r>
          </w:p>
          <w:p>
            <w:pPr>
              <w:rPr>
                <w:rFonts w:cs="Helvetica" w:asciiTheme="minorEastAsia" w:hAnsiTheme="minorEastAsia"/>
                <w:bCs/>
                <w:szCs w:val="21"/>
                <w:shd w:val="clear" w:color="auto" w:fill="FFFFFF"/>
                <w:lang w:val="de-DE"/>
              </w:rPr>
            </w:pPr>
            <w:r>
              <w:rPr>
                <w:rFonts w:hint="eastAsia" w:cs="Helvetica" w:asciiTheme="minorEastAsia" w:hAnsiTheme="minorEastAsia"/>
                <w:bCs/>
                <w:szCs w:val="21"/>
                <w:shd w:val="clear" w:color="auto" w:fill="FFFFFF"/>
                <w:lang w:val="de-DE"/>
              </w:rPr>
              <w:t>第五课  购物</w:t>
            </w:r>
          </w:p>
          <w:p>
            <w:pPr>
              <w:rPr>
                <w:rFonts w:cs="Helvetica" w:asciiTheme="minorEastAsia" w:hAnsiTheme="minorEastAsia"/>
                <w:szCs w:val="21"/>
                <w:shd w:val="clear" w:color="auto" w:fill="FFFFFF"/>
                <w:lang w:val="de-DE"/>
              </w:rPr>
            </w:pPr>
            <w:r>
              <w:rPr>
                <w:rFonts w:hint="eastAsia" w:cs="Helvetica" w:asciiTheme="minorEastAsia" w:hAnsiTheme="minorEastAsia"/>
                <w:szCs w:val="21"/>
                <w:shd w:val="clear" w:color="auto" w:fill="FFFFFF"/>
                <w:lang w:val="de-DE"/>
              </w:rPr>
              <w:t>课文1节约</w:t>
            </w:r>
          </w:p>
          <w:p>
            <w:pPr>
              <w:ind w:left="840" w:hanging="840" w:hangingChars="400"/>
              <w:rPr>
                <w:rFonts w:cs="Helvetica" w:asciiTheme="minorEastAsia" w:hAnsiTheme="minorEastAsia"/>
                <w:bCs/>
                <w:szCs w:val="21"/>
                <w:shd w:val="clear" w:color="auto" w:fill="FFFFFF"/>
                <w:lang w:val="de-DE"/>
              </w:rPr>
            </w:pPr>
            <w:r>
              <w:rPr>
                <w:rFonts w:hint="eastAsia" w:cs="Helvetica" w:asciiTheme="minorEastAsia" w:hAnsiTheme="minorEastAsia"/>
                <w:bCs/>
                <w:szCs w:val="21"/>
                <w:shd w:val="clear" w:color="auto" w:fill="FFFFFF"/>
                <w:lang w:val="de-DE"/>
              </w:rPr>
              <w:t>课文2 纯粹的购物兴趣/单纯的购买欲望</w:t>
            </w:r>
          </w:p>
          <w:p>
            <w:pPr>
              <w:rPr>
                <w:rFonts w:cs="Helvetica" w:asciiTheme="minorEastAsia" w:hAnsiTheme="minorEastAsia"/>
                <w:bCs/>
                <w:szCs w:val="21"/>
                <w:shd w:val="clear" w:color="auto" w:fill="FFFFFF"/>
                <w:lang w:val="de-DE"/>
              </w:rPr>
            </w:pPr>
            <w:r>
              <w:rPr>
                <w:rFonts w:hint="eastAsia" w:cs="Helvetica" w:asciiTheme="minorEastAsia" w:hAnsiTheme="minorEastAsia"/>
                <w:bCs/>
                <w:szCs w:val="21"/>
                <w:shd w:val="clear" w:color="auto" w:fill="FFFFFF"/>
                <w:lang w:val="de-DE"/>
              </w:rPr>
              <w:t>第六课  二手</w:t>
            </w:r>
          </w:p>
          <w:p>
            <w:pPr>
              <w:pStyle w:val="11"/>
              <w:ind w:firstLine="0" w:firstLineChars="0"/>
              <w:rPr>
                <w:rFonts w:ascii="Verdana" w:hAnsi="Verdana"/>
                <w:bCs/>
                <w:szCs w:val="21"/>
                <w:shd w:val="clear" w:color="auto" w:fill="F2F6FA"/>
              </w:rPr>
            </w:pPr>
            <w:r>
              <w:rPr>
                <w:rFonts w:hint="eastAsia" w:cs="Helvetica" w:asciiTheme="minorEastAsia" w:hAnsiTheme="minorEastAsia"/>
                <w:bCs/>
                <w:szCs w:val="21"/>
                <w:shd w:val="clear" w:color="auto" w:fill="FFFFFF"/>
                <w:lang w:val="de-DE"/>
              </w:rPr>
              <w:t xml:space="preserve">课文1 </w:t>
            </w:r>
            <w:r>
              <w:rPr>
                <w:rFonts w:ascii="Verdana" w:hAnsi="Verdana"/>
                <w:bCs/>
                <w:szCs w:val="21"/>
              </w:rPr>
              <w:t>用眼睛去散步</w:t>
            </w:r>
          </w:p>
          <w:p>
            <w:pPr>
              <w:pStyle w:val="11"/>
              <w:ind w:firstLine="0" w:firstLineChars="0"/>
              <w:rPr>
                <w:rFonts w:cs="Helvetica" w:asciiTheme="minorEastAsia" w:hAnsiTheme="minorEastAsia"/>
                <w:bCs/>
                <w:szCs w:val="21"/>
                <w:shd w:val="clear" w:color="auto" w:fill="FFFFFF"/>
                <w:lang w:val="de-DE"/>
              </w:rPr>
            </w:pPr>
            <w:r>
              <w:rPr>
                <w:rFonts w:hint="eastAsia" w:cs="Helvetica" w:asciiTheme="minorEastAsia" w:hAnsiTheme="minorEastAsia"/>
                <w:bCs/>
                <w:szCs w:val="21"/>
                <w:shd w:val="clear" w:color="auto" w:fill="FFFFFF"/>
                <w:lang w:val="de-DE"/>
              </w:rPr>
              <w:t>课文2在跳蚤市场上的交易</w:t>
            </w:r>
          </w:p>
          <w:p>
            <w:pPr>
              <w:pStyle w:val="11"/>
              <w:ind w:firstLine="0" w:firstLineChars="0"/>
              <w:rPr>
                <w:rFonts w:cs="Helvetica" w:asciiTheme="minorEastAsia" w:hAnsiTheme="minorEastAsia"/>
                <w:bCs/>
                <w:szCs w:val="21"/>
                <w:shd w:val="clear" w:color="auto" w:fill="FFFFFF"/>
              </w:rPr>
            </w:pPr>
            <w:r>
              <w:rPr>
                <w:rFonts w:hint="eastAsia" w:cs="Helvetica" w:asciiTheme="minorEastAsia" w:hAnsiTheme="minorEastAsia"/>
                <w:bCs/>
                <w:szCs w:val="21"/>
                <w:shd w:val="clear" w:color="auto" w:fill="FFFFFF"/>
                <w:lang w:val="de-DE"/>
              </w:rPr>
              <w:t>第七课</w:t>
            </w:r>
          </w:p>
          <w:p>
            <w:pPr>
              <w:ind w:left="630" w:hanging="630" w:hangingChars="300"/>
              <w:rPr>
                <w:rFonts w:cs="Helvetica" w:asciiTheme="minorEastAsia" w:hAnsiTheme="minorEastAsia"/>
                <w:bCs/>
                <w:szCs w:val="21"/>
                <w:shd w:val="clear" w:color="auto" w:fill="FFFFFF"/>
                <w:lang w:val="de-DE"/>
              </w:rPr>
            </w:pPr>
            <w:r>
              <w:rPr>
                <w:rFonts w:hint="eastAsia" w:cs="Helvetica" w:asciiTheme="minorEastAsia" w:hAnsiTheme="minorEastAsia"/>
                <w:bCs/>
                <w:szCs w:val="21"/>
                <w:shd w:val="clear" w:color="auto" w:fill="FFFFFF"/>
                <w:lang w:val="de-DE"/>
              </w:rPr>
              <w:t>语法：</w:t>
            </w:r>
          </w:p>
          <w:p>
            <w:pPr>
              <w:numPr>
                <w:ilvl w:val="0"/>
                <w:numId w:val="2"/>
              </w:numPr>
              <w:ind w:left="630" w:hanging="630" w:hangingChars="300"/>
              <w:jc w:val="left"/>
              <w:rPr>
                <w:rFonts w:cs="Helvetica" w:asciiTheme="minorEastAsia" w:hAnsiTheme="minorEastAsia"/>
                <w:bCs/>
                <w:szCs w:val="21"/>
                <w:shd w:val="clear" w:color="auto" w:fill="FFFFFF"/>
                <w:lang w:val="de-DE"/>
              </w:rPr>
            </w:pPr>
            <w:r>
              <w:rPr>
                <w:rFonts w:hint="eastAsia" w:cs="Helvetica" w:asciiTheme="minorEastAsia" w:hAnsiTheme="minorEastAsia"/>
                <w:bCs/>
                <w:szCs w:val="21"/>
                <w:shd w:val="clear" w:color="auto" w:fill="FFFFFF"/>
                <w:lang w:val="de-DE"/>
              </w:rPr>
              <w:t>所以从文本语法的角度来看</w:t>
            </w:r>
          </w:p>
          <w:p>
            <w:pPr>
              <w:numPr>
                <w:ilvl w:val="0"/>
                <w:numId w:val="2"/>
              </w:numPr>
              <w:ind w:left="630" w:hanging="630" w:hangingChars="300"/>
              <w:jc w:val="left"/>
              <w:rPr>
                <w:rFonts w:ascii="Helvetica" w:hAnsi="Helvetica" w:cs="Helvetica"/>
                <w:bCs/>
                <w:szCs w:val="21"/>
                <w:shd w:val="clear" w:color="auto" w:fill="FFFFFF"/>
              </w:rPr>
            </w:pPr>
            <w:r>
              <w:rPr>
                <w:rFonts w:hint="eastAsia" w:ascii="Helvetica" w:hAnsi="Helvetica" w:cs="Helvetica"/>
                <w:bCs/>
                <w:szCs w:val="21"/>
                <w:shd w:val="clear" w:color="auto" w:fill="FFFFFF"/>
              </w:rPr>
              <w:t xml:space="preserve">从句1 由egal/ gleichgültig + mit ob oder Fragewort引入的从句 </w:t>
            </w:r>
          </w:p>
          <w:p>
            <w:pPr>
              <w:numPr>
                <w:ilvl w:val="0"/>
                <w:numId w:val="2"/>
              </w:numPr>
              <w:ind w:left="630" w:hanging="630" w:hangingChars="300"/>
              <w:rPr>
                <w:rFonts w:cs="Helvetica" w:asciiTheme="minorEastAsia" w:hAnsiTheme="minorEastAsia"/>
                <w:bCs/>
                <w:szCs w:val="21"/>
                <w:shd w:val="clear" w:color="auto" w:fill="FFFFFF"/>
                <w:lang w:val="de-DE"/>
              </w:rPr>
            </w:pPr>
            <w:r>
              <w:rPr>
                <w:rFonts w:hint="eastAsia" w:cs="Helvetica" w:asciiTheme="minorEastAsia" w:hAnsiTheme="minorEastAsia"/>
                <w:bCs/>
                <w:szCs w:val="21"/>
                <w:shd w:val="clear" w:color="auto" w:fill="FFFFFF"/>
                <w:lang w:val="de-DE"/>
              </w:rPr>
              <w:t>从句</w:t>
            </w:r>
            <w:r>
              <w:rPr>
                <w:rFonts w:hint="eastAsia" w:cs="Helvetica" w:asciiTheme="minorEastAsia" w:hAnsiTheme="minorEastAsia"/>
                <w:bCs/>
                <w:szCs w:val="21"/>
                <w:shd w:val="clear" w:color="auto" w:fill="FFFFFF"/>
              </w:rPr>
              <w:t>2 让步从句selbst wenn</w:t>
            </w:r>
          </w:p>
          <w:p>
            <w:pPr>
              <w:numPr>
                <w:ilvl w:val="0"/>
                <w:numId w:val="2"/>
              </w:numPr>
              <w:ind w:left="630" w:hanging="630" w:hangingChars="300"/>
              <w:rPr>
                <w:rFonts w:cs="Helvetica" w:asciiTheme="minorEastAsia" w:hAnsiTheme="minorEastAsia"/>
                <w:bCs/>
                <w:szCs w:val="21"/>
                <w:shd w:val="clear" w:color="auto" w:fill="FFFFFF"/>
                <w:lang w:val="de-DE"/>
              </w:rPr>
            </w:pPr>
            <w:r>
              <w:rPr>
                <w:rFonts w:hint="eastAsia" w:cs="Helvetica" w:asciiTheme="minorEastAsia" w:hAnsiTheme="minorEastAsia"/>
                <w:bCs/>
                <w:szCs w:val="21"/>
                <w:shd w:val="clear" w:color="auto" w:fill="FFFFFF"/>
                <w:lang w:val="de-DE"/>
              </w:rPr>
              <w:t>从句</w:t>
            </w:r>
            <w:r>
              <w:rPr>
                <w:rFonts w:hint="eastAsia" w:cs="Helvetica" w:asciiTheme="minorEastAsia" w:hAnsiTheme="minorEastAsia"/>
                <w:bCs/>
                <w:szCs w:val="21"/>
                <w:shd w:val="clear" w:color="auto" w:fill="FFFFFF"/>
              </w:rPr>
              <w:t>3比较从句wie和als</w:t>
            </w:r>
          </w:p>
          <w:p>
            <w:pPr>
              <w:numPr>
                <w:ilvl w:val="0"/>
                <w:numId w:val="2"/>
              </w:numPr>
              <w:ind w:left="630" w:hanging="630" w:hangingChars="300"/>
              <w:rPr>
                <w:rFonts w:ascii="宋体" w:hAnsi="宋体"/>
                <w:sz w:val="18"/>
                <w:szCs w:val="20"/>
              </w:rPr>
            </w:pPr>
            <w:r>
              <w:rPr>
                <w:rFonts w:hint="eastAsia" w:cs="Helvetica" w:asciiTheme="minorEastAsia" w:hAnsiTheme="minorEastAsia"/>
                <w:bCs/>
                <w:szCs w:val="21"/>
                <w:shd w:val="clear" w:color="auto" w:fill="FFFFFF"/>
              </w:rPr>
              <w:t>从句4从句的阶性</w:t>
            </w:r>
            <w:bookmarkStart w:id="1" w:name="_GoBack"/>
            <w:bookmarkEnd w:id="1"/>
          </w:p>
        </w:tc>
        <w:tc>
          <w:tcPr>
            <w:tcW w:w="1786" w:type="dxa"/>
          </w:tcPr>
          <w:p>
            <w:pPr>
              <w:snapToGrid w:val="0"/>
              <w:spacing w:line="288" w:lineRule="auto"/>
              <w:rPr>
                <w:rFonts w:ascii="宋体" w:hAnsi="宋体"/>
                <w:sz w:val="18"/>
                <w:szCs w:val="20"/>
              </w:rPr>
            </w:pPr>
            <w:r>
              <w:rPr>
                <w:rFonts w:hint="eastAsia"/>
                <w:b/>
                <w:szCs w:val="21"/>
              </w:rPr>
              <w:t>理解</w:t>
            </w:r>
            <w:r>
              <w:rPr>
                <w:rFonts w:hint="eastAsia"/>
                <w:szCs w:val="21"/>
              </w:rPr>
              <w:t>文章作者写作的意图；</w:t>
            </w:r>
            <w:r>
              <w:rPr>
                <w:rFonts w:hint="eastAsia"/>
                <w:b/>
                <w:bCs/>
                <w:szCs w:val="21"/>
              </w:rPr>
              <w:t>知道</w:t>
            </w:r>
            <w:r>
              <w:rPr>
                <w:rFonts w:hint="eastAsia"/>
                <w:szCs w:val="21"/>
              </w:rPr>
              <w:t>不同的消费理念，树立正确的消费观与勤俭节约的理念。</w:t>
            </w:r>
            <w:r>
              <w:rPr>
                <w:rFonts w:hint="eastAsia"/>
                <w:b/>
                <w:bCs/>
                <w:szCs w:val="21"/>
              </w:rPr>
              <w:t>知道</w:t>
            </w:r>
            <w:r>
              <w:rPr>
                <w:rFonts w:hint="eastAsia"/>
                <w:szCs w:val="21"/>
              </w:rPr>
              <w:t>二手市场及其交易。通过课文阅读</w:t>
            </w:r>
            <w:r>
              <w:rPr>
                <w:rFonts w:hint="eastAsia"/>
                <w:b/>
                <w:bCs/>
                <w:szCs w:val="21"/>
              </w:rPr>
              <w:t>分析</w:t>
            </w:r>
            <w:r>
              <w:rPr>
                <w:rFonts w:hint="eastAsia"/>
                <w:szCs w:val="21"/>
              </w:rPr>
              <w:t>与归纳</w:t>
            </w:r>
            <w:r>
              <w:rPr>
                <w:rFonts w:hint="eastAsia" w:cs="Helvetica" w:asciiTheme="minorEastAsia" w:hAnsiTheme="minorEastAsia"/>
                <w:bCs/>
                <w:szCs w:val="21"/>
                <w:shd w:val="clear" w:color="auto" w:fill="FFFFFF"/>
                <w:lang w:val="de-DE"/>
              </w:rPr>
              <w:t>文本语法，</w:t>
            </w:r>
            <w:r>
              <w:rPr>
                <w:rFonts w:hint="eastAsia" w:cs="Helvetica" w:asciiTheme="minorEastAsia" w:hAnsiTheme="minorEastAsia"/>
                <w:b/>
                <w:szCs w:val="21"/>
                <w:shd w:val="clear" w:color="auto" w:fill="FFFFFF"/>
                <w:lang w:val="de-DE"/>
              </w:rPr>
              <w:t>知道</w:t>
            </w:r>
            <w:r>
              <w:rPr>
                <w:rFonts w:hint="eastAsia" w:cs="Helvetica" w:asciiTheme="minorEastAsia" w:hAnsiTheme="minorEastAsia"/>
                <w:bCs/>
                <w:szCs w:val="21"/>
                <w:shd w:val="clear" w:color="auto" w:fill="FFFFFF"/>
                <w:lang w:val="de-DE"/>
              </w:rPr>
              <w:t>不同的从句及</w:t>
            </w:r>
            <w:r>
              <w:rPr>
                <w:rFonts w:hint="eastAsia" w:cs="Helvetica" w:asciiTheme="minorEastAsia" w:hAnsiTheme="minorEastAsia"/>
                <w:b/>
                <w:szCs w:val="21"/>
                <w:shd w:val="clear" w:color="auto" w:fill="FFFFFF"/>
                <w:lang w:val="de-DE"/>
              </w:rPr>
              <w:t>分析</w:t>
            </w:r>
            <w:r>
              <w:rPr>
                <w:rFonts w:hint="eastAsia" w:cs="Helvetica" w:asciiTheme="minorEastAsia" w:hAnsiTheme="minorEastAsia"/>
                <w:bCs/>
                <w:szCs w:val="21"/>
                <w:shd w:val="clear" w:color="auto" w:fill="FFFFFF"/>
                <w:lang w:val="de-DE"/>
              </w:rPr>
              <w:t>与</w:t>
            </w:r>
            <w:r>
              <w:rPr>
                <w:rFonts w:hint="eastAsia"/>
                <w:szCs w:val="21"/>
              </w:rPr>
              <w:t>归纳</w:t>
            </w:r>
            <w:r>
              <w:rPr>
                <w:rFonts w:hint="eastAsia" w:cs="Helvetica" w:asciiTheme="minorEastAsia" w:hAnsiTheme="minorEastAsia"/>
                <w:bCs/>
                <w:szCs w:val="21"/>
                <w:shd w:val="clear" w:color="auto" w:fill="FFFFFF"/>
                <w:lang w:val="de-DE"/>
              </w:rPr>
              <w:t>从句的不同阶性。并能灵活</w:t>
            </w:r>
            <w:r>
              <w:rPr>
                <w:rFonts w:hint="eastAsia" w:cs="Helvetica" w:asciiTheme="minorEastAsia" w:hAnsiTheme="minorEastAsia"/>
                <w:b/>
                <w:szCs w:val="21"/>
                <w:shd w:val="clear" w:color="auto" w:fill="FFFFFF"/>
                <w:lang w:val="de-DE"/>
              </w:rPr>
              <w:t>运用</w:t>
            </w:r>
            <w:r>
              <w:rPr>
                <w:rFonts w:hint="eastAsia" w:cs="Helvetica" w:asciiTheme="minorEastAsia" w:hAnsiTheme="minorEastAsia"/>
                <w:bCs/>
                <w:szCs w:val="21"/>
                <w:shd w:val="clear" w:color="auto" w:fill="FFFFFF"/>
                <w:lang w:val="de-DE"/>
              </w:rPr>
              <w:t>。</w:t>
            </w:r>
          </w:p>
        </w:tc>
        <w:tc>
          <w:tcPr>
            <w:tcW w:w="1621" w:type="dxa"/>
          </w:tcPr>
          <w:p>
            <w:pPr>
              <w:snapToGrid w:val="0"/>
              <w:spacing w:line="288" w:lineRule="auto"/>
              <w:rPr>
                <w:rFonts w:ascii="宋体" w:hAnsi="宋体"/>
                <w:sz w:val="18"/>
                <w:szCs w:val="20"/>
              </w:rPr>
            </w:pPr>
            <w:r>
              <w:rPr>
                <w:rFonts w:hint="eastAsia" w:ascii="仿宋_GB2312" w:hAnsi="宋体" w:eastAsia="仿宋_GB2312"/>
                <w:bCs/>
                <w:szCs w:val="21"/>
              </w:rPr>
              <w:t>重点是让学生通过阅读提出问题并发现理解课文的难点。如何正确地理解课文，必须结合上下文，正确分析句子结构及多阶从句。</w:t>
            </w:r>
          </w:p>
        </w:tc>
        <w:tc>
          <w:tcPr>
            <w:tcW w:w="1621" w:type="dxa"/>
          </w:tcPr>
          <w:p>
            <w:pPr>
              <w:snapToGrid w:val="0"/>
              <w:spacing w:line="288" w:lineRule="auto"/>
              <w:rPr>
                <w:rFonts w:ascii="宋体" w:hAnsi="宋体"/>
                <w:sz w:val="18"/>
                <w:szCs w:val="20"/>
              </w:rPr>
            </w:pPr>
            <w:r>
              <w:rPr>
                <w:rFonts w:hint="eastAsia" w:ascii="宋体" w:hAnsi="宋体"/>
                <w:sz w:val="18"/>
                <w:szCs w:val="20"/>
              </w:rPr>
              <w:t>3</w:t>
            </w:r>
            <w:r>
              <w:rPr>
                <w:rFonts w:ascii="宋体" w:hAnsi="宋体"/>
                <w:sz w:val="18"/>
                <w:szCs w:val="20"/>
              </w:rPr>
              <w:t>6</w:t>
            </w:r>
            <w:r>
              <w:rPr>
                <w:rFonts w:hint="eastAsia" w:ascii="宋体" w:hAnsi="宋体"/>
                <w:sz w:val="18"/>
                <w:szCs w:val="20"/>
              </w:rPr>
              <w:t>理论课时</w:t>
            </w:r>
          </w:p>
          <w:p>
            <w:pPr>
              <w:snapToGrid w:val="0"/>
              <w:spacing w:line="288" w:lineRule="auto"/>
              <w:rPr>
                <w:rFonts w:hint="eastAsia" w:ascii="宋体" w:hAnsi="宋体"/>
                <w:sz w:val="18"/>
                <w:szCs w:val="20"/>
              </w:rPr>
            </w:pPr>
            <w:r>
              <w:rPr>
                <w:rFonts w:hint="eastAsia" w:ascii="宋体" w:hAnsi="宋体"/>
                <w:sz w:val="18"/>
                <w:szCs w:val="20"/>
              </w:rPr>
              <w:t>1</w:t>
            </w:r>
            <w:r>
              <w:rPr>
                <w:rFonts w:ascii="宋体" w:hAnsi="宋体"/>
                <w:sz w:val="18"/>
                <w:szCs w:val="20"/>
              </w:rPr>
              <w:t>8</w:t>
            </w:r>
            <w:r>
              <w:rPr>
                <w:rFonts w:hint="eastAsia" w:ascii="宋体" w:hAnsi="宋体"/>
                <w:sz w:val="18"/>
                <w:szCs w:val="20"/>
              </w:rPr>
              <w:t>实践课时</w:t>
            </w:r>
          </w:p>
        </w:tc>
      </w:tr>
    </w:tbl>
    <w:p>
      <w:pPr>
        <w:snapToGrid w:val="0"/>
        <w:spacing w:line="288" w:lineRule="auto"/>
        <w:rPr>
          <w:rFonts w:ascii="黑体" w:hAnsi="宋体" w:eastAsia="黑体"/>
          <w:szCs w:val="21"/>
        </w:rPr>
      </w:pPr>
    </w:p>
    <w:p>
      <w:pPr>
        <w:snapToGrid w:val="0"/>
        <w:spacing w:line="288" w:lineRule="auto"/>
        <w:ind w:right="2520"/>
        <w:rPr>
          <w:rFonts w:ascii="黑体" w:hAnsi="宋体" w:eastAsia="黑体"/>
          <w:szCs w:val="21"/>
        </w:rPr>
      </w:pP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1"/>
              </w:rPr>
            </w:pPr>
            <w:r>
              <w:rPr>
                <w:rFonts w:hint="eastAsia" w:ascii="宋体" w:hAnsi="宋体"/>
                <w:bCs/>
                <w:color w:val="000000"/>
                <w:szCs w:val="21"/>
              </w:rPr>
              <w:t>总评构成（1+</w:t>
            </w:r>
            <w:r>
              <w:rPr>
                <w:rFonts w:ascii="宋体" w:hAnsi="宋体"/>
                <w:bCs/>
                <w:color w:val="000000"/>
                <w:szCs w:val="21"/>
              </w:rPr>
              <w:t>X</w:t>
            </w:r>
            <w:r>
              <w:rPr>
                <w:rFonts w:hint="eastAsia" w:ascii="宋体" w:hAnsi="宋体"/>
                <w:bCs/>
                <w:color w:val="000000"/>
                <w:szCs w:val="21"/>
              </w:rPr>
              <w:t>）</w:t>
            </w:r>
          </w:p>
        </w:tc>
        <w:tc>
          <w:tcPr>
            <w:tcW w:w="5103" w:type="dxa"/>
            <w:shd w:val="clear" w:color="auto" w:fill="auto"/>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评价方式</w:t>
            </w:r>
          </w:p>
        </w:tc>
        <w:tc>
          <w:tcPr>
            <w:tcW w:w="1843" w:type="dxa"/>
            <w:shd w:val="clear" w:color="auto" w:fill="auto"/>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1</w:t>
            </w:r>
          </w:p>
        </w:tc>
        <w:tc>
          <w:tcPr>
            <w:tcW w:w="5103" w:type="dxa"/>
            <w:shd w:val="clear" w:color="auto" w:fill="auto"/>
          </w:tcPr>
          <w:p>
            <w:pPr>
              <w:snapToGrid w:val="0"/>
              <w:spacing w:before="156" w:beforeLines="50" w:after="156" w:afterLines="50"/>
              <w:jc w:val="center"/>
              <w:rPr>
                <w:rFonts w:ascii="宋体" w:hAnsi="宋体"/>
                <w:bCs/>
                <w:color w:val="000000"/>
                <w:szCs w:val="21"/>
              </w:rPr>
            </w:pPr>
            <w:r>
              <w:rPr>
                <w:rFonts w:hint="eastAsia"/>
                <w:color w:val="000000"/>
                <w:szCs w:val="21"/>
              </w:rPr>
              <w:t>期终闭卷考</w:t>
            </w:r>
          </w:p>
        </w:tc>
        <w:tc>
          <w:tcPr>
            <w:tcW w:w="1843" w:type="dxa"/>
            <w:shd w:val="clear" w:color="auto" w:fill="auto"/>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X1</w:t>
            </w:r>
          </w:p>
        </w:tc>
        <w:tc>
          <w:tcPr>
            <w:tcW w:w="5103" w:type="dxa"/>
            <w:shd w:val="clear" w:color="auto" w:fill="auto"/>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课堂测验</w:t>
            </w:r>
          </w:p>
        </w:tc>
        <w:tc>
          <w:tcPr>
            <w:tcW w:w="1843" w:type="dxa"/>
            <w:shd w:val="clear" w:color="auto" w:fill="auto"/>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X2</w:t>
            </w:r>
          </w:p>
        </w:tc>
        <w:tc>
          <w:tcPr>
            <w:tcW w:w="5103" w:type="dxa"/>
            <w:shd w:val="clear" w:color="auto" w:fill="auto"/>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课堂测验</w:t>
            </w:r>
          </w:p>
        </w:tc>
        <w:tc>
          <w:tcPr>
            <w:tcW w:w="1843" w:type="dxa"/>
            <w:shd w:val="clear" w:color="auto" w:fill="auto"/>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1"/>
              </w:rPr>
            </w:pPr>
            <w:r>
              <w:rPr>
                <w:sz w:val="28"/>
                <w:szCs w:val="28"/>
              </w:rPr>
              <w:drawing>
                <wp:anchor distT="0" distB="0" distL="114300" distR="114300" simplePos="0" relativeHeight="251660288" behindDoc="1" locked="0" layoutInCell="1" allowOverlap="1">
                  <wp:simplePos x="0" y="0"/>
                  <wp:positionH relativeFrom="column">
                    <wp:posOffset>463550</wp:posOffset>
                  </wp:positionH>
                  <wp:positionV relativeFrom="paragraph">
                    <wp:posOffset>308610</wp:posOffset>
                  </wp:positionV>
                  <wp:extent cx="792480" cy="597535"/>
                  <wp:effectExtent l="0" t="0" r="7620" b="12065"/>
                  <wp:wrapNone/>
                  <wp:docPr id="86" name="图片 86"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卡通人物&#10;&#10;中度可信度描述已自动生成"/>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92480" cy="597535"/>
                          </a:xfrm>
                          <a:prstGeom prst="rect">
                            <a:avLst/>
                          </a:prstGeom>
                          <a:noFill/>
                        </pic:spPr>
                      </pic:pic>
                    </a:graphicData>
                  </a:graphic>
                </wp:anchor>
              </w:drawing>
            </w:r>
            <w:r>
              <w:rPr>
                <w:rFonts w:hint="eastAsia" w:ascii="宋体" w:hAnsi="宋体"/>
                <w:bCs/>
                <w:color w:val="000000"/>
                <w:szCs w:val="21"/>
              </w:rPr>
              <w:t>X3</w:t>
            </w:r>
          </w:p>
        </w:tc>
        <w:tc>
          <w:tcPr>
            <w:tcW w:w="5103" w:type="dxa"/>
            <w:shd w:val="clear" w:color="auto" w:fill="auto"/>
          </w:tcPr>
          <w:p>
            <w:pPr>
              <w:snapToGrid w:val="0"/>
              <w:spacing w:before="156" w:beforeLines="50" w:after="156" w:afterLines="50"/>
              <w:jc w:val="center"/>
              <w:rPr>
                <w:rFonts w:ascii="宋体" w:hAnsi="宋体"/>
                <w:bCs/>
                <w:color w:val="000000"/>
                <w:szCs w:val="21"/>
              </w:rPr>
            </w:pPr>
            <w:r>
              <w:rPr>
                <w:sz w:val="28"/>
                <w:szCs w:val="28"/>
              </w:rPr>
              <w:drawing>
                <wp:anchor distT="0" distB="0" distL="114300" distR="114300" simplePos="0" relativeHeight="251661312" behindDoc="1" locked="0" layoutInCell="1" allowOverlap="1">
                  <wp:simplePos x="0" y="0"/>
                  <wp:positionH relativeFrom="column">
                    <wp:posOffset>1343660</wp:posOffset>
                  </wp:positionH>
                  <wp:positionV relativeFrom="paragraph">
                    <wp:posOffset>318135</wp:posOffset>
                  </wp:positionV>
                  <wp:extent cx="792480" cy="597535"/>
                  <wp:effectExtent l="0" t="0" r="7620" b="12065"/>
                  <wp:wrapNone/>
                  <wp:docPr id="2" name="图片 2"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卡通人物&#10;&#10;中度可信度描述已自动生成"/>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92480" cy="597535"/>
                          </a:xfrm>
                          <a:prstGeom prst="rect">
                            <a:avLst/>
                          </a:prstGeom>
                          <a:noFill/>
                        </pic:spPr>
                      </pic:pic>
                    </a:graphicData>
                  </a:graphic>
                </wp:anchor>
              </w:drawing>
            </w:r>
            <w:r>
              <w:rPr>
                <w:rFonts w:hint="eastAsia" w:ascii="宋体" w:hAnsi="宋体" w:cs="宋体"/>
                <w:szCs w:val="21"/>
                <w:shd w:val="clear" w:color="auto" w:fill="FFFFFF"/>
              </w:rPr>
              <w:t>课堂小组实践</w:t>
            </w:r>
          </w:p>
        </w:tc>
        <w:tc>
          <w:tcPr>
            <w:tcW w:w="1843" w:type="dxa"/>
            <w:shd w:val="clear" w:color="auto" w:fill="auto"/>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15%</w:t>
            </w:r>
          </w:p>
        </w:tc>
      </w:tr>
    </w:tbl>
    <w:p>
      <w:pPr>
        <w:adjustRightInd w:val="0"/>
        <w:snapToGrid w:val="0"/>
        <w:spacing w:before="156" w:beforeLines="50" w:after="156" w:afterLines="50" w:line="288" w:lineRule="auto"/>
        <w:ind w:firstLine="348" w:firstLineChars="145"/>
        <w:rPr>
          <w:rFonts w:hint="eastAsia" w:ascii="黑体" w:hAnsi="宋体" w:eastAsia="黑体"/>
          <w:sz w:val="24"/>
        </w:rPr>
      </w:pPr>
      <w:r>
        <w:rPr>
          <w:rFonts w:hint="eastAsia" w:ascii="黑体" w:hAnsi="宋体" w:eastAsia="黑体"/>
          <w:sz w:val="24"/>
        </w:rPr>
        <w:t>七、评价方式与成绩</w:t>
      </w:r>
    </w:p>
    <w:p>
      <w:pPr>
        <w:snapToGrid w:val="0"/>
        <w:spacing w:line="288" w:lineRule="auto"/>
        <w:rPr>
          <w:rFonts w:hint="eastAsia"/>
          <w:szCs w:val="21"/>
        </w:rPr>
      </w:pPr>
    </w:p>
    <w:p>
      <w:pPr>
        <w:snapToGrid w:val="0"/>
        <w:spacing w:line="288" w:lineRule="auto"/>
        <w:rPr>
          <w:szCs w:val="21"/>
        </w:rPr>
      </w:pPr>
      <w:r>
        <w:rPr>
          <w:rFonts w:hint="eastAsia"/>
          <w:szCs w:val="21"/>
        </w:rPr>
        <w:t xml:space="preserve">撰写人：          </w:t>
      </w:r>
      <w:r>
        <w:rPr>
          <w:rFonts w:hint="eastAsia"/>
          <w:szCs w:val="21"/>
          <w:lang w:val="en-US" w:eastAsia="zh-CN"/>
        </w:rPr>
        <w:t xml:space="preserve">    </w:t>
      </w:r>
      <w:r>
        <w:rPr>
          <w:rFonts w:hint="eastAsia"/>
          <w:szCs w:val="21"/>
        </w:rPr>
        <w:t>系主任审核签名：</w:t>
      </w:r>
    </w:p>
    <w:p>
      <w:pPr>
        <w:snapToGrid w:val="0"/>
        <w:spacing w:line="288" w:lineRule="auto"/>
        <w:rPr>
          <w:szCs w:val="21"/>
        </w:rPr>
      </w:pPr>
      <w:r>
        <w:rPr>
          <w:rFonts w:hint="eastAsia"/>
          <w:szCs w:val="21"/>
        </w:rPr>
        <w:t xml:space="preserve">审核时间：  2022年9月1日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F589DC"/>
    <w:multiLevelType w:val="singleLevel"/>
    <w:tmpl w:val="62F589DC"/>
    <w:lvl w:ilvl="0" w:tentative="0">
      <w:start w:val="1"/>
      <w:numFmt w:val="decimal"/>
      <w:suff w:val="space"/>
      <w:lvlText w:val="%1."/>
      <w:lvlJc w:val="left"/>
    </w:lvl>
  </w:abstractNum>
  <w:abstractNum w:abstractNumId="1">
    <w:nsid w:val="73EC8960"/>
    <w:multiLevelType w:val="singleLevel"/>
    <w:tmpl w:val="73EC8960"/>
    <w:lvl w:ilvl="0" w:tentative="0">
      <w:start w:val="2"/>
      <w:numFmt w:val="chineseCounting"/>
      <w:suff w:val="space"/>
      <w:lvlText w:val="第%1课"/>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RmYTJjZTAxZWYzN2RlODRkZTdjOTgxYmEwZmVhMjQifQ=="/>
    <w:docVar w:name="KSO_WPS_MARK_KEY" w:val="c97722ff-0fdb-499d-988e-f94ae4300962"/>
  </w:docVars>
  <w:rsids>
    <w:rsidRoot w:val="00B7651F"/>
    <w:rsid w:val="001072BC"/>
    <w:rsid w:val="002260E8"/>
    <w:rsid w:val="00256B39"/>
    <w:rsid w:val="0026033C"/>
    <w:rsid w:val="002E3721"/>
    <w:rsid w:val="00313BBA"/>
    <w:rsid w:val="0032602E"/>
    <w:rsid w:val="003367AE"/>
    <w:rsid w:val="0034303A"/>
    <w:rsid w:val="003B1258"/>
    <w:rsid w:val="004100B0"/>
    <w:rsid w:val="004C7413"/>
    <w:rsid w:val="005467DC"/>
    <w:rsid w:val="00553671"/>
    <w:rsid w:val="00553D03"/>
    <w:rsid w:val="00594F4C"/>
    <w:rsid w:val="005A71F5"/>
    <w:rsid w:val="005B2B6D"/>
    <w:rsid w:val="005B4B4E"/>
    <w:rsid w:val="00624FE1"/>
    <w:rsid w:val="007208D6"/>
    <w:rsid w:val="00766F9E"/>
    <w:rsid w:val="008B397C"/>
    <w:rsid w:val="008B47F4"/>
    <w:rsid w:val="00900019"/>
    <w:rsid w:val="00911F66"/>
    <w:rsid w:val="0099063E"/>
    <w:rsid w:val="00A769B1"/>
    <w:rsid w:val="00A837D5"/>
    <w:rsid w:val="00AC4C45"/>
    <w:rsid w:val="00B0676D"/>
    <w:rsid w:val="00B46F21"/>
    <w:rsid w:val="00B511A5"/>
    <w:rsid w:val="00B736A7"/>
    <w:rsid w:val="00B7651F"/>
    <w:rsid w:val="00C4214E"/>
    <w:rsid w:val="00C56E09"/>
    <w:rsid w:val="00C7689C"/>
    <w:rsid w:val="00CF096B"/>
    <w:rsid w:val="00D50FDA"/>
    <w:rsid w:val="00E16D30"/>
    <w:rsid w:val="00E33169"/>
    <w:rsid w:val="00E70904"/>
    <w:rsid w:val="00EF44B1"/>
    <w:rsid w:val="00F329A3"/>
    <w:rsid w:val="00F35AA0"/>
    <w:rsid w:val="00F635B5"/>
    <w:rsid w:val="00FE7D2E"/>
    <w:rsid w:val="016E63C2"/>
    <w:rsid w:val="024B0C39"/>
    <w:rsid w:val="03BD0F03"/>
    <w:rsid w:val="0A8128A6"/>
    <w:rsid w:val="0BF32A1B"/>
    <w:rsid w:val="10BD2C22"/>
    <w:rsid w:val="161429BC"/>
    <w:rsid w:val="18362A53"/>
    <w:rsid w:val="1AD80301"/>
    <w:rsid w:val="1C7E4C34"/>
    <w:rsid w:val="22987C80"/>
    <w:rsid w:val="24192CCC"/>
    <w:rsid w:val="2779227D"/>
    <w:rsid w:val="2C954936"/>
    <w:rsid w:val="39A66CD4"/>
    <w:rsid w:val="3AF3240F"/>
    <w:rsid w:val="3CD52CE1"/>
    <w:rsid w:val="410F2E6A"/>
    <w:rsid w:val="4430136C"/>
    <w:rsid w:val="44F23F0C"/>
    <w:rsid w:val="48433AD2"/>
    <w:rsid w:val="4AB0382B"/>
    <w:rsid w:val="54E72B03"/>
    <w:rsid w:val="569868B5"/>
    <w:rsid w:val="5947792E"/>
    <w:rsid w:val="5AE558E1"/>
    <w:rsid w:val="611F6817"/>
    <w:rsid w:val="66CA1754"/>
    <w:rsid w:val="6885135B"/>
    <w:rsid w:val="69BC1AE9"/>
    <w:rsid w:val="6F1E65D4"/>
    <w:rsid w:val="6F266C86"/>
    <w:rsid w:val="6F5042C2"/>
    <w:rsid w:val="74316312"/>
    <w:rsid w:val="75A836B9"/>
    <w:rsid w:val="780F13C8"/>
    <w:rsid w:val="79477BD3"/>
    <w:rsid w:val="7B5E48FB"/>
    <w:rsid w:val="7C385448"/>
    <w:rsid w:val="7CB3663D"/>
    <w:rsid w:val="7CF46D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semiHidden/>
    <w:qFormat/>
    <w:uiPriority w:val="99"/>
    <w:rPr>
      <w:sz w:val="18"/>
      <w:szCs w:val="18"/>
    </w:rPr>
  </w:style>
  <w:style w:type="paragraph" w:styleId="11">
    <w:name w:val="List Paragraph"/>
    <w:basedOn w:val="1"/>
    <w:qFormat/>
    <w:uiPriority w:val="34"/>
    <w:pPr>
      <w:ind w:firstLine="420" w:firstLineChars="200"/>
    </w:pPr>
    <w:rPr>
      <w:szCs w:val="24"/>
    </w:rPr>
  </w:style>
  <w:style w:type="character" w:customStyle="1" w:styleId="12">
    <w:name w:val="批注框文本 字符"/>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2327</Words>
  <Characters>2665</Characters>
  <Lines>22</Lines>
  <Paragraphs>6</Paragraphs>
  <TotalTime>0</TotalTime>
  <ScaleCrop>false</ScaleCrop>
  <LinksUpToDate>false</LinksUpToDate>
  <CharactersWithSpaces>2728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2022-11-24T23:35:00Z</dcterms:created>
  <dc:creator>juvg</dc:creator>
  <cp:lastModifiedBy>Administrator</cp:lastModifiedBy>
  <dcterms:modified xsi:type="dcterms:W3CDTF">2022-11-29T03:48:52Z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0146BFF2CC644027B4FAEF984FF5550D</vt:lpwstr>
  </property>
</Properties>
</file>