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tWR5rUAAAACAEA&#10;AA8AAAAAAAAAAQAgAAAAIgAAAGRycy9kb3ducmV2LnhtbFBLAQIUABQAAAAIAIdO4kBFNI9OVwIA&#10;AJ0EAAAOAAAAAAAAAAEAIAAAACM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napToGrid w:val="0"/>
        <w:spacing w:line="480" w:lineRule="exact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【法语（1）】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【French（1）】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2020016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英语专业本科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外国语学院德语系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bCs/>
          <w:color w:val="000000"/>
          <w:sz w:val="20"/>
          <w:szCs w:val="20"/>
        </w:rPr>
        <w:t>《你好！法语1》，王海燕主编，外语教育与研究出版社，2012年9月第1版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792" w:firstLineChars="396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《新公共法语基础语法全解》，吴贤良主编，上海外语教育出版社，2012年8月第1版；《你好！法语1练习册》，王海燕主编，外语教学与研究出版社，2012年9月第1版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法语和英语一样，都是联合国、欧盟、非盟、国际奥委会和万国邮政联盟等国际组织及机构的主要工作语言。本课程为选修</w:t>
      </w:r>
      <w:r>
        <w:rPr>
          <w:rFonts w:hint="eastAsia"/>
          <w:color w:val="000000"/>
          <w:kern w:val="0"/>
          <w:sz w:val="20"/>
          <w:szCs w:val="20"/>
        </w:rPr>
        <w:t>法语</w:t>
      </w:r>
      <w:r>
        <w:rPr>
          <w:color w:val="000000"/>
          <w:kern w:val="0"/>
          <w:sz w:val="20"/>
          <w:szCs w:val="20"/>
        </w:rPr>
        <w:t>的</w:t>
      </w:r>
      <w:r>
        <w:rPr>
          <w:rFonts w:hint="eastAsia"/>
          <w:color w:val="000000"/>
          <w:kern w:val="0"/>
          <w:sz w:val="20"/>
          <w:szCs w:val="20"/>
        </w:rPr>
        <w:t>英语专业</w:t>
      </w:r>
      <w:r>
        <w:rPr>
          <w:color w:val="000000"/>
          <w:kern w:val="0"/>
          <w:sz w:val="20"/>
          <w:szCs w:val="20"/>
        </w:rPr>
        <w:t>学生而设计，旨在培养学生掌握法语的基本知识，借助词典阅读和翻译法语文章，并具有初步</w:t>
      </w:r>
      <w:r>
        <w:rPr>
          <w:rFonts w:hint="eastAsia"/>
          <w:color w:val="000000"/>
          <w:kern w:val="0"/>
          <w:sz w:val="20"/>
          <w:szCs w:val="20"/>
        </w:rPr>
        <w:t>的</w:t>
      </w:r>
      <w:r>
        <w:rPr>
          <w:color w:val="000000"/>
          <w:kern w:val="0"/>
          <w:sz w:val="20"/>
          <w:szCs w:val="20"/>
        </w:rPr>
        <w:t>听说能力。</w:t>
      </w:r>
      <w:r>
        <w:rPr>
          <w:rFonts w:hint="eastAsia"/>
          <w:color w:val="000000"/>
          <w:kern w:val="0"/>
          <w:sz w:val="20"/>
          <w:szCs w:val="20"/>
        </w:rPr>
        <w:t>本课程</w:t>
      </w:r>
      <w:r>
        <w:rPr>
          <w:color w:val="000000"/>
          <w:kern w:val="0"/>
          <w:sz w:val="20"/>
          <w:szCs w:val="20"/>
        </w:rPr>
        <w:t>教授纯正的</w:t>
      </w:r>
      <w:r>
        <w:rPr>
          <w:rFonts w:hint="eastAsia"/>
          <w:color w:val="000000"/>
          <w:kern w:val="0"/>
          <w:sz w:val="20"/>
          <w:szCs w:val="20"/>
        </w:rPr>
        <w:t>法语</w:t>
      </w:r>
      <w:r>
        <w:rPr>
          <w:color w:val="000000"/>
          <w:kern w:val="0"/>
          <w:sz w:val="20"/>
          <w:szCs w:val="20"/>
        </w:rPr>
        <w:t>语音语调、语法基础知识及一些常用词汇，同时加强口语能力的训练，为下一阶段学习打下良好基础</w:t>
      </w:r>
      <w:r>
        <w:rPr>
          <w:rFonts w:hint="eastAsia"/>
          <w:color w:val="000000"/>
          <w:kern w:val="0"/>
          <w:sz w:val="20"/>
          <w:szCs w:val="20"/>
        </w:rPr>
        <w:t>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适合英语本科专业三年级第一学期开设，无需法语基础</w:t>
      </w:r>
      <w:r>
        <w:rPr>
          <w:color w:val="000000"/>
          <w:sz w:val="20"/>
          <w:szCs w:val="20"/>
        </w:rPr>
        <w:t>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44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44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LO31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掌握正确的发音，能够使用法语进行交流与表达</w:t>
            </w:r>
          </w:p>
        </w:tc>
        <w:tc>
          <w:tcPr>
            <w:tcW w:w="244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讲解发音规则，带读单词、句子和课文，纠正发音</w:t>
            </w:r>
          </w:p>
        </w:tc>
        <w:tc>
          <w:tcPr>
            <w:tcW w:w="113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课堂实践练习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能够理解课文内容，并进行分析、归纳、推理</w:t>
            </w:r>
          </w:p>
        </w:tc>
        <w:tc>
          <w:tcPr>
            <w:tcW w:w="244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细讲课文的意思及用法，并进行提问，加深学生对课文的理解</w:t>
            </w:r>
          </w:p>
        </w:tc>
        <w:tc>
          <w:tcPr>
            <w:tcW w:w="113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课堂实践练习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通过对新的法语词汇、语法和句型的学习，解决课后习题及相应法语能力考试的问题</w:t>
            </w:r>
          </w:p>
        </w:tc>
        <w:tc>
          <w:tcPr>
            <w:tcW w:w="244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详细解说本课出现的语法及句型，进行相应的练习</w:t>
            </w:r>
          </w:p>
        </w:tc>
        <w:tc>
          <w:tcPr>
            <w:tcW w:w="113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小测验及期末考试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0512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通过课堂活动、口头发表等形式，对法国文化进行深入了解和探讨</w:t>
            </w:r>
          </w:p>
        </w:tc>
        <w:tc>
          <w:tcPr>
            <w:tcW w:w="244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课堂中穿插小组讨论和发表</w:t>
            </w:r>
          </w:p>
        </w:tc>
        <w:tc>
          <w:tcPr>
            <w:tcW w:w="113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小组演讲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本课程</w:t>
      </w:r>
      <w:r>
        <w:rPr>
          <w:rFonts w:hint="eastAsia" w:ascii="宋体" w:hAnsi="宋体"/>
          <w:bCs/>
          <w:color w:val="000000"/>
          <w:szCs w:val="21"/>
        </w:rPr>
        <w:t>总课时为64学时，全部为理论学时，具体为教师课堂授课（含讲解、演示、点评等环节）。</w:t>
      </w:r>
    </w:p>
    <w:tbl>
      <w:tblPr>
        <w:tblStyle w:val="5"/>
        <w:tblW w:w="79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567"/>
        <w:gridCol w:w="567"/>
        <w:gridCol w:w="1565"/>
        <w:gridCol w:w="2597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  <w:t>课时</w:t>
            </w:r>
          </w:p>
        </w:tc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内容构成</w:t>
            </w:r>
          </w:p>
        </w:tc>
        <w:tc>
          <w:tcPr>
            <w:tcW w:w="2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  <w:t>知识</w:t>
            </w: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能力</w:t>
            </w:r>
            <w:r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教学重点与难点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理论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实践</w:t>
            </w:r>
          </w:p>
        </w:tc>
        <w:tc>
          <w:tcPr>
            <w:tcW w:w="1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</w:t>
            </w:r>
          </w:p>
        </w:tc>
        <w:tc>
          <w:tcPr>
            <w:tcW w:w="15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宋体" w:hAnsi="宋体" w:eastAsia="MS Mincho"/>
                <w:szCs w:val="21"/>
                <w:lang w:val="fr-FR" w:eastAsia="ja-JP"/>
              </w:rPr>
            </w:pPr>
            <w:r>
              <w:rPr>
                <w:rFonts w:hint="eastAsia" w:ascii="宋体" w:hAnsi="宋体" w:eastAsia="MS Mincho"/>
                <w:szCs w:val="21"/>
                <w:lang w:val="fr-FR" w:eastAsia="ja-JP"/>
              </w:rPr>
              <w:t>U</w:t>
            </w:r>
            <w:r>
              <w:rPr>
                <w:rFonts w:ascii="宋体" w:hAnsi="宋体" w:eastAsia="MS Mincho"/>
                <w:szCs w:val="21"/>
                <w:lang w:val="fr-FR" w:eastAsia="ja-JP"/>
              </w:rPr>
              <w:t>nité 0</w:t>
            </w:r>
          </w:p>
          <w:p>
            <w:pPr>
              <w:snapToGrid w:val="0"/>
              <w:spacing w:line="288" w:lineRule="auto"/>
              <w:rPr>
                <w:rFonts w:ascii="宋体" w:hAnsi="宋体" w:eastAsia="MS Mincho"/>
                <w:bCs/>
                <w:color w:val="000000"/>
                <w:szCs w:val="21"/>
                <w:lang w:val="fr-FR" w:eastAsia="ja-JP"/>
              </w:rPr>
            </w:pPr>
            <w:r>
              <w:rPr>
                <w:rFonts w:ascii="宋体" w:hAnsi="宋体" w:eastAsia="MS Mincho"/>
                <w:szCs w:val="21"/>
                <w:lang w:val="fr-FR" w:eastAsia="ja-JP"/>
              </w:rPr>
              <w:t>Phonétique</w:t>
            </w:r>
          </w:p>
        </w:tc>
        <w:tc>
          <w:tcPr>
            <w:tcW w:w="25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hint="eastAsia" w:ascii="宋体" w:hAnsi="宋体"/>
                <w:szCs w:val="21"/>
                <w:lang w:eastAsia="ja-JP"/>
              </w:rPr>
            </w:pPr>
            <w:r>
              <w:rPr>
                <w:rFonts w:hint="eastAsia" w:ascii="宋体" w:hAnsi="宋体"/>
                <w:szCs w:val="21"/>
                <w:lang w:eastAsia="ja-JP"/>
              </w:rPr>
              <w:t>1.</w:t>
            </w:r>
            <w:r>
              <w:rPr>
                <w:rFonts w:hint="eastAsia" w:ascii="宋体" w:hAnsi="宋体"/>
                <w:szCs w:val="21"/>
                <w:lang w:eastAsia="ja-JP"/>
              </w:rPr>
              <w:tab/>
            </w:r>
            <w:r>
              <w:rPr>
                <w:rFonts w:hint="eastAsia" w:ascii="宋体" w:hAnsi="宋体" w:eastAsiaTheme="minorEastAsia"/>
                <w:szCs w:val="21"/>
              </w:rPr>
              <w:t>学会</w:t>
            </w:r>
            <w:r>
              <w:rPr>
                <w:rFonts w:hint="eastAsia" w:ascii="宋体" w:hAnsi="宋体"/>
                <w:szCs w:val="21"/>
                <w:lang w:eastAsia="ja-JP"/>
              </w:rPr>
              <w:t>拼读法语单词</w:t>
            </w:r>
          </w:p>
          <w:p>
            <w:pPr>
              <w:snapToGrid w:val="0"/>
              <w:spacing w:line="288" w:lineRule="auto"/>
              <w:rPr>
                <w:rFonts w:hint="eastAsia" w:ascii="宋体" w:hAnsi="宋体"/>
                <w:szCs w:val="21"/>
                <w:lang w:eastAsia="ja-JP"/>
              </w:rPr>
            </w:pPr>
            <w:r>
              <w:rPr>
                <w:rFonts w:hint="eastAsia" w:ascii="宋体" w:hAnsi="宋体"/>
                <w:szCs w:val="21"/>
                <w:lang w:eastAsia="ja-JP"/>
              </w:rPr>
              <w:t>2.</w:t>
            </w:r>
            <w:r>
              <w:rPr>
                <w:rFonts w:hint="eastAsia" w:ascii="宋体" w:hAnsi="宋体"/>
                <w:szCs w:val="21"/>
                <w:lang w:eastAsia="ja-JP"/>
              </w:rPr>
              <w:tab/>
            </w:r>
            <w:r>
              <w:rPr>
                <w:rFonts w:hint="eastAsia" w:ascii="宋体" w:hAnsi="宋体"/>
                <w:szCs w:val="21"/>
              </w:rPr>
              <w:t>理解法语读音规则</w:t>
            </w:r>
          </w:p>
          <w:p>
            <w:pPr>
              <w:widowControl/>
              <w:adjustRightInd w:val="0"/>
              <w:snapToGrid w:val="0"/>
              <w:spacing w:line="300" w:lineRule="auto"/>
              <w:ind w:left="2"/>
              <w:jc w:val="left"/>
              <w:rPr>
                <w:rFonts w:hint="eastAsia" w:ascii="宋体" w:hAnsi="宋体" w:eastAsia="MS Mincho"/>
                <w:szCs w:val="21"/>
                <w:lang w:eastAsia="ja-JP"/>
              </w:rPr>
            </w:pPr>
            <w:r>
              <w:rPr>
                <w:rFonts w:hint="eastAsia" w:ascii="宋体" w:hAnsi="宋体"/>
                <w:szCs w:val="21"/>
                <w:lang w:eastAsia="ja-JP"/>
              </w:rPr>
              <w:t>3.</w:t>
            </w:r>
            <w:r>
              <w:rPr>
                <w:rFonts w:hint="eastAsia" w:ascii="宋体" w:hAnsi="宋体"/>
                <w:szCs w:val="21"/>
                <w:lang w:eastAsia="ja-JP"/>
              </w:rPr>
              <w:tab/>
            </w:r>
            <w:r>
              <w:rPr>
                <w:rFonts w:hint="eastAsia" w:ascii="宋体" w:hAnsi="宋体"/>
                <w:szCs w:val="21"/>
                <w:lang w:eastAsia="ja-JP"/>
              </w:rPr>
              <w:t>掌握数字</w:t>
            </w:r>
            <w:r>
              <w:rPr>
                <w:rFonts w:ascii="宋体" w:hAnsi="宋体"/>
                <w:szCs w:val="21"/>
                <w:lang w:eastAsia="ja-JP"/>
              </w:rPr>
              <w:t>0</w:t>
            </w:r>
            <w:r>
              <w:rPr>
                <w:rFonts w:hint="eastAsia" w:ascii="宋体" w:hAnsi="宋体"/>
                <w:szCs w:val="21"/>
                <w:lang w:eastAsia="ja-JP"/>
              </w:rPr>
              <w:t>-100的发音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0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fr-FR"/>
              </w:rPr>
              <w:t>法语26个字母</w:t>
            </w:r>
          </w:p>
          <w:p>
            <w:pPr>
              <w:pStyle w:val="10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fr-FR"/>
              </w:rPr>
              <w:t>法语35个音素</w:t>
            </w:r>
          </w:p>
          <w:p>
            <w:pPr>
              <w:pStyle w:val="10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Cs w:val="21"/>
                <w:lang w:val="fr-FR"/>
              </w:rPr>
            </w:pPr>
            <w:r>
              <w:rPr>
                <w:color w:val="000000"/>
                <w:kern w:val="0"/>
                <w:szCs w:val="21"/>
                <w:lang w:val="fr-FR"/>
              </w:rPr>
              <w:t>法语语音的基本知识及拼读规则</w:t>
            </w:r>
          </w:p>
          <w:p>
            <w:pPr>
              <w:pStyle w:val="10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fr-FR"/>
              </w:rPr>
              <w:t>数字（1-</w:t>
            </w:r>
            <w:r>
              <w:rPr>
                <w:color w:val="000000"/>
                <w:kern w:val="0"/>
                <w:szCs w:val="21"/>
                <w:lang w:val="fr-FR"/>
              </w:rPr>
              <w:t>100</w:t>
            </w:r>
            <w:r>
              <w:rPr>
                <w:rFonts w:hint="eastAsia"/>
                <w:color w:val="000000"/>
                <w:kern w:val="0"/>
                <w:szCs w:val="21"/>
                <w:lang w:val="fr-F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</w:t>
            </w:r>
          </w:p>
        </w:tc>
        <w:tc>
          <w:tcPr>
            <w:tcW w:w="15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宋体" w:hAnsi="宋体"/>
                <w:szCs w:val="21"/>
                <w:lang w:val="fr-FR"/>
              </w:rPr>
            </w:pPr>
            <w:r>
              <w:rPr>
                <w:rFonts w:hint="eastAsia" w:ascii="宋体" w:hAnsi="宋体"/>
                <w:szCs w:val="21"/>
              </w:rPr>
              <w:t>U</w:t>
            </w:r>
            <w:r>
              <w:rPr>
                <w:rFonts w:ascii="宋体" w:hAnsi="宋体"/>
                <w:szCs w:val="21"/>
                <w:lang w:val="fr-FR"/>
              </w:rPr>
              <w:t>nité 1</w:t>
            </w:r>
          </w:p>
          <w:p>
            <w:pPr>
              <w:snapToGrid w:val="0"/>
              <w:spacing w:line="288" w:lineRule="auto"/>
              <w:rPr>
                <w:rFonts w:hint="eastAsia" w:ascii="宋体" w:hAnsi="宋体"/>
                <w:bCs/>
                <w:color w:val="000000"/>
                <w:szCs w:val="21"/>
                <w:lang w:val="fr-FR"/>
              </w:rPr>
            </w:pPr>
            <w:r>
              <w:rPr>
                <w:rFonts w:hint="eastAsia" w:ascii="宋体" w:hAnsi="宋体"/>
                <w:szCs w:val="21"/>
                <w:lang w:val="fr-FR"/>
              </w:rPr>
              <w:t>R</w:t>
            </w:r>
            <w:r>
              <w:rPr>
                <w:rFonts w:ascii="宋体" w:hAnsi="宋体"/>
                <w:szCs w:val="21"/>
                <w:lang w:val="fr-FR"/>
              </w:rPr>
              <w:t>encontres</w:t>
            </w:r>
          </w:p>
        </w:tc>
        <w:tc>
          <w:tcPr>
            <w:tcW w:w="25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0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fr-FR"/>
              </w:rPr>
              <w:t>学会自我介绍和介绍他人</w:t>
            </w:r>
          </w:p>
          <w:p>
            <w:pPr>
              <w:pStyle w:val="10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fr-FR"/>
              </w:rPr>
              <w:t>掌握日常寒暄的语句</w:t>
            </w:r>
          </w:p>
          <w:p>
            <w:pPr>
              <w:pStyle w:val="10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fr-FR"/>
              </w:rPr>
              <w:t>学会如何打听某人的消息</w:t>
            </w:r>
          </w:p>
          <w:p>
            <w:pPr>
              <w:pStyle w:val="10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fr-FR"/>
              </w:rPr>
              <w:t>学会表达喜好</w:t>
            </w:r>
          </w:p>
          <w:p>
            <w:pPr>
              <w:pStyle w:val="10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rPr>
                <w:rFonts w:hint="eastAsia"/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fr-FR"/>
              </w:rPr>
              <w:t>学会听懂和报电话号码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0"/>
              <w:numPr>
                <w:ilvl w:val="0"/>
                <w:numId w:val="3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fr-FR"/>
              </w:rPr>
              <w:t>打招呼</w:t>
            </w:r>
          </w:p>
          <w:p>
            <w:pPr>
              <w:pStyle w:val="10"/>
              <w:numPr>
                <w:ilvl w:val="0"/>
                <w:numId w:val="3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fr-FR"/>
              </w:rPr>
              <w:t>就姓名、年龄、联系方式及职业提问和回答</w:t>
            </w:r>
          </w:p>
          <w:p>
            <w:pPr>
              <w:pStyle w:val="10"/>
              <w:numPr>
                <w:ilvl w:val="0"/>
                <w:numId w:val="3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fr-FR"/>
              </w:rPr>
              <w:t>表达喜好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fr-FR"/>
              </w:rPr>
              <w:t>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52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  <w:p>
            <w:pPr>
              <w:snapToGrid w:val="0"/>
              <w:spacing w:line="288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  <w:tc>
          <w:tcPr>
            <w:tcW w:w="1565" w:type="dxa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宋体" w:hAnsi="宋体" w:eastAsia="MS Mincho"/>
                <w:szCs w:val="21"/>
                <w:lang w:eastAsia="ja-JP"/>
              </w:rPr>
            </w:pPr>
            <w:r>
              <w:rPr>
                <w:rFonts w:hint="eastAsia" w:ascii="宋体" w:hAnsi="宋体" w:eastAsia="MS Mincho"/>
                <w:szCs w:val="21"/>
                <w:lang w:eastAsia="ja-JP"/>
              </w:rPr>
              <w:t>U</w:t>
            </w:r>
            <w:r>
              <w:rPr>
                <w:rFonts w:ascii="宋体" w:hAnsi="宋体" w:eastAsia="MS Mincho"/>
                <w:szCs w:val="21"/>
                <w:lang w:eastAsia="ja-JP"/>
              </w:rPr>
              <w:t>nité 2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Theme="minorEastAsia"/>
                <w:szCs w:val="21"/>
              </w:rPr>
            </w:pPr>
            <w:r>
              <w:rPr>
                <w:rFonts w:hint="eastAsia" w:ascii="宋体" w:hAnsi="宋体" w:eastAsia="MS Mincho"/>
                <w:szCs w:val="21"/>
                <w:lang w:eastAsia="ja-JP"/>
              </w:rPr>
              <w:t>P</w:t>
            </w:r>
            <w:r>
              <w:rPr>
                <w:rFonts w:ascii="宋体" w:hAnsi="宋体" w:eastAsia="MS Mincho"/>
                <w:szCs w:val="21"/>
                <w:lang w:eastAsia="ja-JP"/>
              </w:rPr>
              <w:t>ortraits</w:t>
            </w:r>
          </w:p>
        </w:tc>
        <w:tc>
          <w:tcPr>
            <w:tcW w:w="2597" w:type="dxa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0"/>
              <w:numPr>
                <w:ilvl w:val="0"/>
                <w:numId w:val="4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fr-FR"/>
              </w:rPr>
              <w:t>学会描述事物特征并确定其方位</w:t>
            </w:r>
          </w:p>
          <w:p>
            <w:pPr>
              <w:pStyle w:val="10"/>
              <w:numPr>
                <w:ilvl w:val="0"/>
                <w:numId w:val="4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fr-FR"/>
              </w:rPr>
              <w:t>学会识别人物身份</w:t>
            </w:r>
          </w:p>
          <w:p>
            <w:pPr>
              <w:pStyle w:val="10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rPr>
                <w:rFonts w:ascii="宋体" w:hAnsi="宋体"/>
                <w:szCs w:val="21"/>
                <w:lang w:eastAsia="ja-JP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fr-FR"/>
              </w:rPr>
              <w:t>掌握购物常用语句</w:t>
            </w:r>
          </w:p>
        </w:tc>
        <w:tc>
          <w:tcPr>
            <w:tcW w:w="2126" w:type="dxa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0"/>
              <w:numPr>
                <w:ilvl w:val="0"/>
                <w:numId w:val="5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fr-FR"/>
              </w:rPr>
              <w:t>指出食物和人</w:t>
            </w:r>
            <w:r>
              <w:rPr>
                <w:rFonts w:hint="eastAsia"/>
                <w:color w:val="000000"/>
                <w:kern w:val="0"/>
                <w:szCs w:val="21"/>
              </w:rPr>
              <w:t>，</w:t>
            </w:r>
            <w:r>
              <w:rPr>
                <w:rFonts w:hint="eastAsia"/>
                <w:color w:val="000000"/>
                <w:kern w:val="0"/>
                <w:szCs w:val="21"/>
                <w:lang w:val="fr-FR"/>
              </w:rPr>
              <w:t>确定其方位</w:t>
            </w:r>
          </w:p>
          <w:p>
            <w:pPr>
              <w:pStyle w:val="10"/>
              <w:numPr>
                <w:ilvl w:val="0"/>
                <w:numId w:val="5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fr-FR"/>
              </w:rPr>
              <w:t>表达所属关系</w:t>
            </w:r>
          </w:p>
          <w:p>
            <w:pPr>
              <w:pStyle w:val="10"/>
              <w:numPr>
                <w:ilvl w:val="0"/>
                <w:numId w:val="5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fr-FR"/>
              </w:rPr>
              <w:t>表达喜好</w:t>
            </w:r>
          </w:p>
          <w:p>
            <w:pPr>
              <w:pStyle w:val="10"/>
              <w:numPr>
                <w:ilvl w:val="0"/>
                <w:numId w:val="5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fr-FR"/>
              </w:rPr>
              <w:t>表述颜色</w:t>
            </w:r>
          </w:p>
          <w:p>
            <w:pPr>
              <w:pStyle w:val="10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fr-FR"/>
              </w:rPr>
              <w:t>询问及表述价格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4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宋体" w:hAnsi="宋体" w:eastAsia="MS Mincho"/>
                <w:szCs w:val="21"/>
                <w:lang w:eastAsia="ja-JP"/>
              </w:rPr>
            </w:pPr>
            <w:r>
              <w:rPr>
                <w:rFonts w:hint="eastAsia" w:ascii="宋体" w:hAnsi="宋体" w:eastAsia="MS Mincho"/>
                <w:szCs w:val="21"/>
                <w:lang w:eastAsia="ja-JP"/>
              </w:rPr>
              <w:t>U</w:t>
            </w:r>
            <w:r>
              <w:rPr>
                <w:rFonts w:ascii="宋体" w:hAnsi="宋体" w:eastAsia="MS Mincho"/>
                <w:szCs w:val="21"/>
                <w:lang w:eastAsia="ja-JP"/>
              </w:rPr>
              <w:t>nité 3</w:t>
            </w:r>
          </w:p>
          <w:p>
            <w:pPr>
              <w:snapToGrid w:val="0"/>
              <w:spacing w:line="288" w:lineRule="auto"/>
              <w:rPr>
                <w:rFonts w:ascii="宋体" w:hAnsi="宋体" w:eastAsia="MS Mincho"/>
                <w:szCs w:val="21"/>
                <w:lang w:val="fr-FR" w:eastAsia="ja-JP"/>
              </w:rPr>
            </w:pPr>
            <w:r>
              <w:rPr>
                <w:rFonts w:hint="eastAsia" w:ascii="宋体" w:hAnsi="宋体" w:eastAsia="MS Mincho"/>
                <w:szCs w:val="21"/>
                <w:lang w:val="fr-FR" w:eastAsia="ja-JP"/>
              </w:rPr>
              <w:t>Ç</w:t>
            </w:r>
            <w:r>
              <w:rPr>
                <w:rFonts w:ascii="宋体" w:hAnsi="宋体" w:eastAsia="MS Mincho"/>
                <w:szCs w:val="21"/>
                <w:lang w:val="fr-FR" w:eastAsia="ja-JP"/>
              </w:rPr>
              <w:t>a se trouve où ?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0"/>
              <w:numPr>
                <w:ilvl w:val="0"/>
                <w:numId w:val="6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fr-FR"/>
              </w:rPr>
              <w:t>能够看懂租房信息或房产广告</w:t>
            </w:r>
          </w:p>
          <w:p>
            <w:pPr>
              <w:pStyle w:val="10"/>
              <w:numPr>
                <w:ilvl w:val="0"/>
                <w:numId w:val="6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fr-FR"/>
              </w:rPr>
              <w:t>掌握问路和指路常用语句</w:t>
            </w:r>
          </w:p>
          <w:p>
            <w:pPr>
              <w:pStyle w:val="10"/>
              <w:numPr>
                <w:ilvl w:val="0"/>
                <w:numId w:val="6"/>
              </w:numPr>
              <w:adjustRightInd w:val="0"/>
              <w:snapToGrid w:val="0"/>
              <w:spacing w:line="300" w:lineRule="auto"/>
              <w:ind w:firstLineChars="0"/>
              <w:rPr>
                <w:rFonts w:ascii="宋体" w:hAnsi="宋体"/>
                <w:szCs w:val="21"/>
                <w:lang w:eastAsia="ja-JP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fr-FR"/>
              </w:rPr>
              <w:t>理解旅游信息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0"/>
              <w:numPr>
                <w:ilvl w:val="0"/>
                <w:numId w:val="7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fr-FR"/>
              </w:rPr>
              <w:t>确定某一地点的方位</w:t>
            </w:r>
          </w:p>
          <w:p>
            <w:pPr>
              <w:pStyle w:val="10"/>
              <w:numPr>
                <w:ilvl w:val="0"/>
                <w:numId w:val="7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fr-FR"/>
              </w:rPr>
              <w:t>表述东南西北</w:t>
            </w:r>
          </w:p>
          <w:p>
            <w:pPr>
              <w:pStyle w:val="10"/>
              <w:numPr>
                <w:ilvl w:val="0"/>
                <w:numId w:val="7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fr-FR"/>
              </w:rPr>
              <w:t>表述交通方式</w:t>
            </w:r>
          </w:p>
          <w:p>
            <w:pPr>
              <w:pStyle w:val="10"/>
              <w:numPr>
                <w:ilvl w:val="0"/>
                <w:numId w:val="7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Cs w:val="21"/>
                <w:lang w:val="fr-F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fr-FR"/>
              </w:rPr>
              <w:t>提供建议</w:t>
            </w:r>
          </w:p>
          <w:p>
            <w:pPr>
              <w:pStyle w:val="10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fr-FR"/>
              </w:rPr>
              <w:t>描述公寓或房子</w:t>
            </w:r>
          </w:p>
        </w:tc>
      </w:tr>
    </w:tbl>
    <w:p>
      <w:pPr>
        <w:snapToGrid w:val="0"/>
        <w:spacing w:line="288" w:lineRule="auto"/>
        <w:ind w:right="2520"/>
        <w:rPr>
          <w:rFonts w:hint="eastAsia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六、评价方式与成绩</w:t>
      </w:r>
    </w:p>
    <w:tbl>
      <w:tblPr>
        <w:tblStyle w:val="5"/>
        <w:tblpPr w:leftFromText="180" w:rightFromText="180" w:vertAnchor="text" w:horzAnchor="page" w:tblpX="1800" w:tblpY="230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期末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闭卷考试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考勤+平时作业+课堂表现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课堂小测验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小组演讲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</w:pPr>
    </w:p>
    <w:p>
      <w:pPr>
        <w:snapToGrid w:val="0"/>
        <w:spacing w:line="288" w:lineRule="auto"/>
        <w:ind w:firstLine="630" w:firstLineChars="300"/>
      </w:pPr>
      <w:r>
        <w:rPr>
          <w:rFonts w:hint="eastAsia"/>
        </w:rPr>
        <w:t>撰写：</w:t>
      </w:r>
      <w:r>
        <w:drawing>
          <wp:inline distT="0" distB="0" distL="0" distR="0">
            <wp:extent cx="1126490" cy="386715"/>
            <wp:effectExtent l="0" t="0" r="16510" b="13335"/>
            <wp:docPr id="1" name="图片 1" descr="卡通人物&#10;&#10;低可信度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卡通人物&#10;&#10;低可信度描述已自动生成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系主任审核：</w:t>
      </w:r>
      <w:r>
        <w:rPr>
          <w:rFonts w:ascii="宋体" w:hAnsi="宋体"/>
          <w:color w:val="000000"/>
          <w:szCs w:val="21"/>
        </w:rPr>
        <w:drawing>
          <wp:inline distT="0" distB="0" distL="0" distR="0">
            <wp:extent cx="679450" cy="311150"/>
            <wp:effectExtent l="0" t="0" r="0" b="13335"/>
            <wp:docPr id="3" name="图片 3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630" w:firstLineChars="300"/>
      </w:pPr>
    </w:p>
    <w:p>
      <w:pPr>
        <w:tabs>
          <w:tab w:val="left" w:pos="1350"/>
        </w:tabs>
      </w:pPr>
      <w:r>
        <w:rPr>
          <w:rFonts w:hint="eastAsia"/>
        </w:rPr>
        <w:t xml:space="preserve">      </w:t>
      </w:r>
      <w:bookmarkStart w:id="1" w:name="_GoBack"/>
      <w:bookmarkEnd w:id="1"/>
      <w:r>
        <w:rPr>
          <w:rFonts w:hint="eastAsia"/>
        </w:rPr>
        <w:t>审核时间：202</w:t>
      </w:r>
      <w:r>
        <w:t>2</w:t>
      </w:r>
      <w:r>
        <w:rPr>
          <w:rFonts w:hint="eastAsia"/>
        </w:rPr>
        <w:t>.9.2</w:t>
      </w:r>
    </w:p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ED4DE2"/>
    <w:multiLevelType w:val="multilevel"/>
    <w:tmpl w:val="12ED4D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9752D5"/>
    <w:multiLevelType w:val="multilevel"/>
    <w:tmpl w:val="1A9752D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7778F8"/>
    <w:multiLevelType w:val="multilevel"/>
    <w:tmpl w:val="217778F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626101"/>
    <w:multiLevelType w:val="multilevel"/>
    <w:tmpl w:val="256261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6B6093"/>
    <w:multiLevelType w:val="multilevel"/>
    <w:tmpl w:val="546B609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E424BC"/>
    <w:multiLevelType w:val="multilevel"/>
    <w:tmpl w:val="69E424B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BEA094A"/>
    <w:multiLevelType w:val="multilevel"/>
    <w:tmpl w:val="7BEA094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B7651F"/>
    <w:rsid w:val="0007362F"/>
    <w:rsid w:val="000D235D"/>
    <w:rsid w:val="001F4A01"/>
    <w:rsid w:val="00256B39"/>
    <w:rsid w:val="0026033C"/>
    <w:rsid w:val="002E3721"/>
    <w:rsid w:val="002F1A16"/>
    <w:rsid w:val="00313BBA"/>
    <w:rsid w:val="0032602E"/>
    <w:rsid w:val="003367AE"/>
    <w:rsid w:val="003B08E6"/>
    <w:rsid w:val="004100B0"/>
    <w:rsid w:val="005467DC"/>
    <w:rsid w:val="00553D03"/>
    <w:rsid w:val="005B2B6D"/>
    <w:rsid w:val="005B4B4E"/>
    <w:rsid w:val="005D5D84"/>
    <w:rsid w:val="00624FE1"/>
    <w:rsid w:val="00677D70"/>
    <w:rsid w:val="007208D6"/>
    <w:rsid w:val="008B397C"/>
    <w:rsid w:val="008B47F4"/>
    <w:rsid w:val="00900019"/>
    <w:rsid w:val="0099063E"/>
    <w:rsid w:val="00B511A5"/>
    <w:rsid w:val="00B7651F"/>
    <w:rsid w:val="00C56E09"/>
    <w:rsid w:val="00C721FD"/>
    <w:rsid w:val="00DE5A0A"/>
    <w:rsid w:val="00E16D30"/>
    <w:rsid w:val="00E33169"/>
    <w:rsid w:val="00E70904"/>
    <w:rsid w:val="00EA064B"/>
    <w:rsid w:val="00EE1EFB"/>
    <w:rsid w:val="00EF44B1"/>
    <w:rsid w:val="00F144B7"/>
    <w:rsid w:val="00F35AA0"/>
    <w:rsid w:val="00F44016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5C412CD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1115</Words>
  <Characters>1238</Characters>
  <Lines>10</Lines>
  <Paragraphs>2</Paragraphs>
  <TotalTime>1</TotalTime>
  <ScaleCrop>false</ScaleCrop>
  <LinksUpToDate>false</LinksUpToDate>
  <CharactersWithSpaces>1289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2022-11-25T05:11:00Z</dcterms:created>
  <dc:creator>juvg</dc:creator>
  <cp:lastModifiedBy>Administrator</cp:lastModifiedBy>
  <dcterms:modified xsi:type="dcterms:W3CDTF">2022-11-29T04:10:43Z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08EED8A0DD0D42738C211EF9E1209CCC</vt:lpwstr>
  </property>
</Properties>
</file>