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BC878">
      <w:pPr>
        <w:jc w:val="center"/>
        <w:rPr>
          <w:rFonts w:ascii="黑体" w:hAnsi="黑体" w:eastAsia="黑体"/>
          <w:bCs/>
          <w:sz w:val="32"/>
          <w:szCs w:val="32"/>
        </w:rPr>
      </w:pPr>
      <w:bookmarkStart w:id="4" w:name="_GoBack"/>
      <w:bookmarkEnd w:id="4"/>
      <w:r>
        <w:rPr>
          <w:rFonts w:hint="eastAsia" w:ascii="黑体" w:hAnsi="黑体" w:eastAsia="黑体"/>
          <w:bCs/>
          <w:sz w:val="32"/>
          <w:szCs w:val="32"/>
        </w:rPr>
        <w:t>《英语辩论》本科课程教学大纲</w:t>
      </w:r>
    </w:p>
    <w:p w14:paraId="5186671A">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F74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C2E438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5E1B89D">
            <w:pPr>
              <w:widowControl w:val="0"/>
              <w:jc w:val="left"/>
              <w:rPr>
                <w:color w:val="000000" w:themeColor="text1"/>
                <w:sz w:val="21"/>
                <w:szCs w:val="21"/>
                <w14:textFill>
                  <w14:solidFill>
                    <w14:schemeClr w14:val="tx1"/>
                  </w14:solidFill>
                </w14:textFill>
              </w:rPr>
            </w:pPr>
            <w:r>
              <w:rPr>
                <w:rFonts w:hint="eastAsia"/>
                <w:sz w:val="21"/>
                <w:szCs w:val="21"/>
              </w:rPr>
              <w:t>英语辩论（专业基础选修课）</w:t>
            </w:r>
          </w:p>
        </w:tc>
      </w:tr>
      <w:tr w14:paraId="4062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1BDAB5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463B6A6">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E</w:t>
            </w:r>
            <w:r>
              <w:rPr>
                <w:rFonts w:hint="eastAsia" w:ascii="Times New Roman" w:hAnsi="Times New Roman" w:cs="Times New Roman"/>
                <w:color w:val="000000" w:themeColor="text1"/>
                <w:sz w:val="21"/>
                <w:szCs w:val="21"/>
                <w14:textFill>
                  <w14:solidFill>
                    <w14:schemeClr w14:val="tx1"/>
                  </w14:solidFill>
                </w14:textFill>
              </w:rPr>
              <w:t>nglish Debating</w:t>
            </w:r>
          </w:p>
        </w:tc>
      </w:tr>
      <w:tr w14:paraId="32A6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EE6D6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DE8CF7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202500</w:t>
            </w:r>
            <w:r>
              <w:rPr>
                <w:rFonts w:hint="eastAsia" w:ascii="黑体" w:hAnsi="黑体" w:eastAsia="黑体"/>
                <w:color w:val="000000" w:themeColor="text1"/>
                <w:sz w:val="21"/>
                <w:szCs w:val="21"/>
                <w14:textFill>
                  <w14:solidFill>
                    <w14:schemeClr w14:val="tx1"/>
                  </w14:solidFill>
                </w14:textFill>
              </w:rPr>
              <w:t>4</w:t>
            </w:r>
          </w:p>
        </w:tc>
        <w:tc>
          <w:tcPr>
            <w:tcW w:w="2126" w:type="dxa"/>
            <w:gridSpan w:val="2"/>
            <w:vAlign w:val="center"/>
          </w:tcPr>
          <w:p w14:paraId="476C7634">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6FF7E8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D2B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1416D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2BC55E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0E3829B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BA4AD5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179BCAD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EC2405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14:paraId="34C5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38A59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036387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外国语学院英语系</w:t>
            </w:r>
          </w:p>
        </w:tc>
        <w:tc>
          <w:tcPr>
            <w:tcW w:w="2126" w:type="dxa"/>
            <w:gridSpan w:val="2"/>
            <w:vAlign w:val="center"/>
          </w:tcPr>
          <w:p w14:paraId="0B215BE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9CEFCD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二年级</w:t>
            </w:r>
          </w:p>
        </w:tc>
      </w:tr>
      <w:tr w14:paraId="4924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A1147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A9BA81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708C92C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BE707D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2CE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D469C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4EA0C8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《高等学校英语拓展系列教程</w:t>
            </w:r>
            <w:r>
              <w:rPr>
                <w:rFonts w:ascii="Times New Roman" w:hAnsi="Times New Roman"/>
                <w:color w:val="000000" w:themeColor="text1"/>
                <w:sz w:val="21"/>
                <w:szCs w:val="21"/>
                <w14:textFill>
                  <w14:solidFill>
                    <w14:schemeClr w14:val="tx1"/>
                  </w14:solidFill>
                </w14:textFill>
              </w:rPr>
              <w:t>:英语辩论教程(语言应用类)》，Gary Rybold，外语教学与研究出版社，2010；ISBN</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7560095577</w:t>
            </w:r>
          </w:p>
        </w:tc>
        <w:tc>
          <w:tcPr>
            <w:tcW w:w="1413" w:type="dxa"/>
            <w:gridSpan w:val="2"/>
            <w:vAlign w:val="center"/>
          </w:tcPr>
          <w:p w14:paraId="31EF2A6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F3979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AF5CD3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0CB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B42BEF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AA57F45">
            <w:pPr>
              <w:pStyle w:val="15"/>
              <w:widowControl w:val="0"/>
              <w:jc w:val="both"/>
              <w:rPr>
                <w:color w:val="auto"/>
              </w:rPr>
            </w:pPr>
            <w:r>
              <w:rPr>
                <w:rFonts w:hint="eastAsia"/>
              </w:rPr>
              <w:t>《英语</w:t>
            </w:r>
            <w:r>
              <w:rPr>
                <w:rFonts w:hint="eastAsia"/>
                <w:color w:val="auto"/>
              </w:rPr>
              <w:t>口语</w:t>
            </w:r>
            <w:r>
              <w:rPr>
                <w:color w:val="auto"/>
              </w:rPr>
              <w:t>1》：20201</w:t>
            </w:r>
            <w:r>
              <w:rPr>
                <w:rFonts w:hint="eastAsia"/>
                <w:color w:val="auto"/>
              </w:rPr>
              <w:t>33</w:t>
            </w:r>
            <w:r>
              <w:rPr>
                <w:color w:val="auto"/>
              </w:rPr>
              <w:t>，2；</w:t>
            </w:r>
          </w:p>
          <w:p w14:paraId="6A105CF8">
            <w:pPr>
              <w:pStyle w:val="15"/>
              <w:widowControl w:val="0"/>
              <w:jc w:val="both"/>
            </w:pPr>
            <w:r>
              <w:rPr>
                <w:rFonts w:hint="eastAsia"/>
                <w:color w:val="auto"/>
              </w:rPr>
              <w:t>《英语口语</w:t>
            </w:r>
            <w:r>
              <w:rPr>
                <w:color w:val="auto"/>
              </w:rPr>
              <w:t>2》：20201</w:t>
            </w:r>
            <w:r>
              <w:rPr>
                <w:rFonts w:hint="eastAsia"/>
                <w:color w:val="auto"/>
              </w:rPr>
              <w:t>34</w:t>
            </w:r>
            <w:r>
              <w:rPr>
                <w:color w:val="auto"/>
              </w:rPr>
              <w:t>，2</w:t>
            </w:r>
          </w:p>
        </w:tc>
      </w:tr>
      <w:tr w14:paraId="374C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93" w:hRule="atLeast"/>
        </w:trPr>
        <w:tc>
          <w:tcPr>
            <w:tcW w:w="1691" w:type="dxa"/>
            <w:tcBorders>
              <w:left w:val="single" w:color="auto" w:sz="12" w:space="0"/>
            </w:tcBorders>
            <w:shd w:val="clear" w:color="auto" w:fill="auto"/>
            <w:vAlign w:val="center"/>
          </w:tcPr>
          <w:p w14:paraId="6BF8C2C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15607AB">
            <w:pPr>
              <w:pStyle w:val="15"/>
              <w:widowControl w:val="0"/>
              <w:ind w:firstLine="420" w:firstLineChars="200"/>
              <w:jc w:val="both"/>
            </w:pPr>
            <w:r>
              <w:rPr>
                <w:rFonts w:hint="eastAsia"/>
              </w:rPr>
              <w:t>英语辩论是英语专业学生提高阶段的选修课。本课程是英语思辨能力和英语口语能力相结合的课程。在辩论能力方面，训练学生在公众环境下，针对当下热议主题</w:t>
            </w:r>
            <w:r>
              <w:t>或事件，以英语为沟通语言，以辩手身份，相互发表各自所代表小组的立场</w:t>
            </w:r>
            <w:r>
              <w:rPr>
                <w:rFonts w:hint="eastAsia"/>
              </w:rPr>
              <w:t>-</w:t>
            </w:r>
            <w:r>
              <w:t>观点，完整阐述己方的看法、见解和主张，并可以有效地对对方的观点进行反驳。</w:t>
            </w:r>
          </w:p>
          <w:p w14:paraId="1C70F2D4">
            <w:pPr>
              <w:pStyle w:val="15"/>
              <w:widowControl w:val="0"/>
              <w:ind w:firstLine="420" w:firstLineChars="200"/>
              <w:jc w:val="both"/>
            </w:pPr>
            <w:r>
              <w:rPr>
                <w:rFonts w:hint="eastAsia"/>
              </w:rPr>
              <w:t>辩论能力是英语专业学生必须具备的中阶以上语言基本技能之一。辩论是学生进行剖析辩题、甄选论据、运用辩论技巧陈述的整套流程，是团队协作式语言交际活动的一个重要方面。辩论能力的提高对于口语表达进阶、词汇及句型等的运用也具有极大的促进作用。</w:t>
            </w:r>
          </w:p>
          <w:p w14:paraId="34208256">
            <w:pPr>
              <w:pStyle w:val="15"/>
              <w:widowControl w:val="0"/>
              <w:ind w:firstLine="420" w:firstLineChars="200"/>
              <w:jc w:val="both"/>
            </w:pPr>
            <w:r>
              <w:rPr>
                <w:rFonts w:hint="eastAsia"/>
              </w:rPr>
              <w:t>本课程的主要内容是训练学生的辩论技能，使学生在实际语言环境中应用辩论技巧，提高交际综合能力。本课程以《英语辩论教程》为主要教材，要求学生从查找辩题切入点入手，结合主要论述方法，来举出具体的资料例证进行剖析、陈述，并在过程中时刻关注中西方</w:t>
            </w:r>
            <w:r>
              <w:t>对于同话题思维方式和做法的不同，完成</w:t>
            </w:r>
            <w:r>
              <w:rPr>
                <w:rFonts w:hint="eastAsia"/>
              </w:rPr>
              <w:t>小组辩论流程。</w:t>
            </w:r>
          </w:p>
          <w:p w14:paraId="5E34F67B">
            <w:pPr>
              <w:pStyle w:val="15"/>
              <w:widowControl w:val="0"/>
              <w:ind w:firstLine="420" w:firstLineChars="200"/>
              <w:jc w:val="both"/>
            </w:pPr>
            <w:r>
              <w:rPr>
                <w:rFonts w:hint="eastAsia"/>
              </w:rPr>
              <w:t>在英语口头辩论能力方面，要求学生达到：（</w:t>
            </w:r>
            <w:r>
              <w:t>a）能利用已掌握的英语比较辩证性地表达己方的观点，能运用辩论策略来说服对方达到论证目的；（b）能准确掌握诸如陈述、举例、论证、反驳等交际功能。能针对不同的论题，对不同的论据用辩证思维去分析、阐释、辩驳；（c）主动代表己方进行观点陈述，培养讲英语辩论的热情和兴趣；（d）逐步达到在英语口头表达方面准确性、流利性和逻辑思辨的结合。</w:t>
            </w:r>
          </w:p>
          <w:p w14:paraId="30E0B356">
            <w:pPr>
              <w:pStyle w:val="15"/>
              <w:widowControl w:val="0"/>
              <w:ind w:firstLine="420" w:firstLineChars="200"/>
              <w:jc w:val="both"/>
            </w:pPr>
            <w:r>
              <w:rPr>
                <w:rFonts w:hint="eastAsia"/>
              </w:rPr>
              <w:t>通过上课的论题资料以及上课小组实践的辩论，辩证分析、论证社会热点问题或事件等，让学生辩证思考、陈述相关的现象和问题的看法、见解，从而潜移默化地提高思辨能力和社会责任感，践行校训中的感恩、回报、爱心、责任的思路意识。</w:t>
            </w:r>
          </w:p>
        </w:tc>
      </w:tr>
      <w:tr w14:paraId="7BEC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162AF56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914BEE5">
            <w:pPr>
              <w:pStyle w:val="15"/>
              <w:widowControl w:val="0"/>
              <w:jc w:val="both"/>
            </w:pPr>
            <w:r>
              <w:rPr>
                <w:rFonts w:hint="eastAsia"/>
              </w:rPr>
              <w:t>本课程为英语本科专业选修课，适合对二年级上学期的学生开设；为英语专业学生进入高年级的深入学习做好专业英语词汇量、语篇阅读能力储备，和观点陈述能力方面的准备。学生们应该注意基础陈述句型、语法语用功底和逻辑思辨能力的积累和训练，并应有较强的政治立场甄别力，以保证能适应高年级辩论课程以及英语综合课程的学习。学生在上这门课程之前应该已经完成了英语专业一年级（第二册）的口语课程的学习。</w:t>
            </w:r>
          </w:p>
        </w:tc>
      </w:tr>
      <w:tr w14:paraId="480F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903381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B8A85D1">
            <w:pPr>
              <w:widowControl w:val="0"/>
              <w:ind w:right="84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668655" cy="4381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srcRect/>
                          <a:stretch>
                            <a:fillRect/>
                          </a:stretch>
                        </pic:blipFill>
                        <pic:spPr>
                          <a:xfrm>
                            <a:off x="0" y="0"/>
                            <a:ext cx="669262" cy="438150"/>
                          </a:xfrm>
                          <a:prstGeom prst="rect">
                            <a:avLst/>
                          </a:prstGeom>
                          <a:noFill/>
                          <a:ln w="9525">
                            <a:noFill/>
                            <a:miter lim="800000"/>
                            <a:headEnd/>
                            <a:tailEnd/>
                          </a:ln>
                        </pic:spPr>
                      </pic:pic>
                    </a:graphicData>
                  </a:graphic>
                </wp:inline>
              </w:drawing>
            </w:r>
          </w:p>
        </w:tc>
        <w:tc>
          <w:tcPr>
            <w:tcW w:w="1425" w:type="dxa"/>
            <w:gridSpan w:val="2"/>
            <w:tcBorders>
              <w:top w:val="double" w:color="auto" w:sz="4" w:space="0"/>
            </w:tcBorders>
            <w:vAlign w:val="center"/>
          </w:tcPr>
          <w:p w14:paraId="0C3C921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ABE780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4.1</w:t>
            </w:r>
          </w:p>
        </w:tc>
      </w:tr>
      <w:tr w14:paraId="5BDA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656153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F78CAE1">
            <w:pPr>
              <w:widowControl w:val="0"/>
              <w:ind w:right="84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572770" cy="4451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572770" cy="445135"/>
                          </a:xfrm>
                          <a:prstGeom prst="rect">
                            <a:avLst/>
                          </a:prstGeom>
                          <a:noFill/>
                        </pic:spPr>
                      </pic:pic>
                    </a:graphicData>
                  </a:graphic>
                </wp:inline>
              </w:drawing>
            </w:r>
          </w:p>
        </w:tc>
        <w:tc>
          <w:tcPr>
            <w:tcW w:w="1425" w:type="dxa"/>
            <w:gridSpan w:val="2"/>
            <w:vAlign w:val="center"/>
          </w:tcPr>
          <w:p w14:paraId="480BE2C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B08636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.2</w:t>
            </w:r>
          </w:p>
        </w:tc>
      </w:tr>
      <w:tr w14:paraId="435E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4EA701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0DA43E0">
            <w:pPr>
              <w:widowControl w:val="0"/>
              <w:ind w:right="840"/>
              <w:jc w:val="left"/>
              <w:rPr>
                <w:rFonts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7" cstate="print"/>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206A99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4A1EF1A">
            <w:pPr>
              <w:widowControl w:val="0"/>
              <w:jc w:val="center"/>
              <w:rPr>
                <w:rFonts w:ascii="Times New Roman" w:hAnsi="Times New Roman"/>
                <w:color w:val="000000"/>
                <w:sz w:val="21"/>
                <w:szCs w:val="21"/>
              </w:rPr>
            </w:pPr>
            <w:r>
              <w:rPr>
                <w:rFonts w:hint="eastAsia" w:ascii="Times New Roman" w:hAnsi="Times New Roman"/>
                <w:color w:val="000000"/>
                <w:sz w:val="21"/>
                <w:szCs w:val="21"/>
              </w:rPr>
              <w:t>2024.2</w:t>
            </w:r>
          </w:p>
        </w:tc>
      </w:tr>
    </w:tbl>
    <w:p w14:paraId="1C3EC1CB">
      <w:pPr>
        <w:spacing w:line="100" w:lineRule="exact"/>
      </w:pPr>
    </w:p>
    <w:p w14:paraId="2E9D3973">
      <w:pPr>
        <w:widowControl w:val="0"/>
        <w:spacing w:before="81" w:beforeLines="25" w:after="163" w:afterLines="50"/>
        <w:ind w:right="120" w:rightChars="50"/>
        <w:jc w:val="both"/>
        <w:outlineLvl w:val="1"/>
        <w:rPr>
          <w:rFonts w:ascii="Arial" w:hAns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二．课程目标与专业要求</w:t>
      </w:r>
    </w:p>
    <w:p w14:paraId="60B1CD2A">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6E1CE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0189CA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B3F593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84E479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EE96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5BF33E9">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73376AA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0036FEC">
            <w:pPr>
              <w:pStyle w:val="15"/>
              <w:jc w:val="left"/>
              <w:rPr>
                <w:rFonts w:ascii="宋体" w:hAnsi="宋体"/>
                <w:bCs/>
              </w:rPr>
            </w:pPr>
            <w:r>
              <w:rPr>
                <w:rFonts w:hint="eastAsia" w:ascii="宋体" w:hAnsi="宋体"/>
                <w:bCs/>
              </w:rPr>
              <w:t>掌握扎实的论题资料检索和例证分析基础，尤其在中高难度的英语实例素材中，能抓住主要观点论据并进行辩论资料准备。</w:t>
            </w:r>
          </w:p>
        </w:tc>
      </w:tr>
      <w:tr w14:paraId="6FF41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C76A91E">
            <w:pPr>
              <w:pStyle w:val="15"/>
              <w:rPr>
                <w:bCs/>
              </w:rPr>
            </w:pPr>
          </w:p>
        </w:tc>
        <w:tc>
          <w:tcPr>
            <w:tcW w:w="764" w:type="dxa"/>
            <w:shd w:val="clear" w:color="auto" w:fill="auto"/>
            <w:vAlign w:val="center"/>
          </w:tcPr>
          <w:p w14:paraId="5F42A03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A09404A">
            <w:pPr>
              <w:pStyle w:val="15"/>
              <w:jc w:val="left"/>
              <w:rPr>
                <w:rFonts w:ascii="宋体" w:hAnsi="宋体"/>
                <w:bCs/>
              </w:rPr>
            </w:pPr>
            <w:r>
              <w:rPr>
                <w:rFonts w:hint="eastAsia" w:ascii="宋体" w:hAnsi="宋体"/>
                <w:bCs/>
              </w:rPr>
              <w:t>掌握主要的辩论语汇和句型，并能在实践语言环境中应用相关句型和结构来展开辩论，尤其需要掌握陈述、举例、论证、反驳等基本句型结构。</w:t>
            </w:r>
          </w:p>
        </w:tc>
      </w:tr>
      <w:tr w14:paraId="514F4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20A2868">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ABCC9C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7952F96">
            <w:pPr>
              <w:pStyle w:val="15"/>
              <w:jc w:val="left"/>
              <w:rPr>
                <w:rFonts w:ascii="宋体" w:hAnsi="宋体"/>
                <w:bCs/>
              </w:rPr>
            </w:pPr>
            <w:r>
              <w:rPr>
                <w:rFonts w:hint="eastAsia" w:ascii="宋体" w:hAnsi="宋体"/>
                <w:bCs/>
              </w:rPr>
              <w:t>能根据设定的辩题，设计辩论思路，能够主动地通过搜集辩题资料、分析、讨论、实践、质疑、创造等方法来实现学习目标。</w:t>
            </w:r>
          </w:p>
        </w:tc>
      </w:tr>
      <w:tr w14:paraId="205A4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A6205E8">
            <w:pPr>
              <w:pStyle w:val="15"/>
              <w:rPr>
                <w:rFonts w:ascii="宋体" w:hAnsi="宋体"/>
              </w:rPr>
            </w:pPr>
          </w:p>
        </w:tc>
        <w:tc>
          <w:tcPr>
            <w:tcW w:w="764" w:type="dxa"/>
            <w:shd w:val="clear" w:color="auto" w:fill="auto"/>
            <w:vAlign w:val="center"/>
          </w:tcPr>
          <w:p w14:paraId="4D898F1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14432B6">
            <w:pPr>
              <w:pStyle w:val="15"/>
              <w:jc w:val="left"/>
              <w:rPr>
                <w:rFonts w:ascii="宋体" w:hAnsi="宋体"/>
                <w:bCs/>
              </w:rPr>
            </w:pPr>
            <w:r>
              <w:rPr>
                <w:rFonts w:hint="eastAsia" w:ascii="宋体" w:hAnsi="宋体"/>
                <w:bCs/>
              </w:rPr>
              <w:t>能够同群体保持良好的合作关系，做辩论小组中的积极成员；善于从多个维度思考问题，利用自己的辩论知识与实践来辩证剖析社会热议问题或事件</w:t>
            </w:r>
            <w:r>
              <w:rPr>
                <w:rFonts w:ascii="宋体" w:hAnsi="宋体"/>
                <w:bCs/>
              </w:rPr>
              <w:t>,并形成小组辩论成果。</w:t>
            </w:r>
          </w:p>
        </w:tc>
      </w:tr>
      <w:tr w14:paraId="2CF61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37" w:hRule="atLeast"/>
          <w:jc w:val="center"/>
        </w:trPr>
        <w:tc>
          <w:tcPr>
            <w:tcW w:w="1206" w:type="dxa"/>
            <w:vAlign w:val="center"/>
          </w:tcPr>
          <w:p w14:paraId="438365C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2E4BA9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BD631C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p w14:paraId="233F943A">
            <w:pPr>
              <w:snapToGrid w:val="0"/>
              <w:jc w:val="center"/>
              <w:rPr>
                <w:rFonts w:ascii="Arial" w:hAnsi="Arial" w:eastAsia="黑体" w:cs="Arial"/>
                <w:bCs/>
                <w:color w:val="000000"/>
                <w:sz w:val="21"/>
                <w:szCs w:val="18"/>
              </w:rPr>
            </w:pPr>
          </w:p>
        </w:tc>
        <w:tc>
          <w:tcPr>
            <w:tcW w:w="6306" w:type="dxa"/>
            <w:vAlign w:val="center"/>
          </w:tcPr>
          <w:p w14:paraId="59264A1D">
            <w:pPr>
              <w:pStyle w:val="15"/>
              <w:jc w:val="left"/>
              <w:rPr>
                <w:rFonts w:ascii="宋体" w:hAnsi="宋体"/>
                <w:bCs/>
              </w:rPr>
            </w:pPr>
            <w:r>
              <w:rPr>
                <w:rFonts w:hint="eastAsia" w:ascii="宋体" w:hAnsi="宋体"/>
                <w:bCs/>
              </w:rPr>
              <w:t>具有一定的素材论题的政治甄别能力，具有主流的思想意识形态，能够保证小组辩论的正常开展。</w:t>
            </w:r>
          </w:p>
        </w:tc>
      </w:tr>
    </w:tbl>
    <w:p w14:paraId="78670DCF">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99364B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489C12D">
            <w:pPr>
              <w:pStyle w:val="15"/>
              <w:widowControl w:val="0"/>
              <w:jc w:val="both"/>
              <w:rPr>
                <w:rFonts w:ascii="宋体" w:hAnsi="宋体"/>
                <w:bCs/>
              </w:rPr>
            </w:pPr>
            <w:r>
              <w:rPr>
                <w:rFonts w:ascii="宋体" w:hAnsi="宋体"/>
                <w:bCs/>
              </w:rPr>
              <w:t>LO1</w:t>
            </w:r>
            <w:r>
              <w:rPr>
                <w:rFonts w:hint="eastAsia" w:ascii="宋体" w:hAnsi="宋体"/>
                <w:bCs/>
              </w:rPr>
              <w:t xml:space="preserve"> </w:t>
            </w:r>
            <w:r>
              <w:rPr>
                <w:rFonts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3C4A24E">
            <w:pPr>
              <w:pStyle w:val="15"/>
              <w:widowControl w:val="0"/>
              <w:jc w:val="both"/>
              <w:rPr>
                <w:rFonts w:ascii="宋体" w:hAnsi="宋体"/>
                <w:bCs/>
              </w:rPr>
            </w:pPr>
            <w:r>
              <w:rPr>
                <w:rFonts w:hint="eastAsia" w:ascii="宋体" w:hAnsi="宋体"/>
                <w:bCs/>
              </w:rPr>
              <w:t>⑤ 热爱所学专业，勤学多练，锤炼技能。熟悉本专业相关的学习范例，在实践中自觉遵守学生规范，具备学习者的素养。</w:t>
            </w:r>
          </w:p>
        </w:tc>
      </w:tr>
      <w:tr w14:paraId="607E89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68B031D">
            <w:pPr>
              <w:pStyle w:val="15"/>
              <w:widowControl w:val="0"/>
              <w:jc w:val="both"/>
              <w:rPr>
                <w:rFonts w:ascii="宋体" w:hAnsi="宋体"/>
                <w:bCs/>
              </w:rPr>
            </w:pPr>
            <w:r>
              <w:rPr>
                <w:rFonts w:ascii="宋体" w:hAnsi="宋体"/>
                <w:bCs/>
              </w:rPr>
              <w:t>LO2专业能力：具有人文科学素养，具备从事某项工作或专业的理论知识、实践能力。</w:t>
            </w:r>
          </w:p>
          <w:p w14:paraId="7E035270">
            <w:pPr>
              <w:pStyle w:val="15"/>
              <w:widowControl w:val="0"/>
              <w:jc w:val="both"/>
              <w:rPr>
                <w:rFonts w:ascii="宋体" w:hAnsi="宋体"/>
                <w:bCs/>
              </w:rPr>
            </w:pPr>
            <w:r>
              <w:rPr>
                <w:rFonts w:hint="eastAsia" w:ascii="宋体" w:hAnsi="宋体"/>
                <w:bCs/>
              </w:rPr>
              <w:t xml:space="preserve">① </w:t>
            </w:r>
            <w:r>
              <w:rPr>
                <w:rFonts w:ascii="宋体" w:hAnsi="宋体"/>
                <w:bCs/>
              </w:rPr>
              <w:t>具有专业所需的人文科学素养</w:t>
            </w:r>
            <w:r>
              <w:rPr>
                <w:rFonts w:hint="eastAsia" w:ascii="宋体" w:hAnsi="宋体"/>
                <w:bCs/>
              </w:rPr>
              <w:t>, 善于钻研、实践。</w:t>
            </w:r>
          </w:p>
        </w:tc>
      </w:tr>
      <w:tr w14:paraId="3FD50BC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17D1617">
            <w:pPr>
              <w:pStyle w:val="15"/>
              <w:widowControl w:val="0"/>
              <w:jc w:val="both"/>
              <w:rPr>
                <w:rFonts w:ascii="宋体" w:hAnsi="宋体"/>
                <w:bCs/>
              </w:rPr>
            </w:pPr>
            <w:r>
              <w:rPr>
                <w:rFonts w:ascii="宋体" w:hAnsi="宋体"/>
                <w:bCs/>
              </w:rPr>
              <w:t>LO4自主学习：能根据环境需要确定自己的学习目标，并主动地通过搜集信息、分析信息、讨论、实践、质疑、创造等方法来实现学习目标。</w:t>
            </w:r>
          </w:p>
          <w:p w14:paraId="66C572E1">
            <w:pPr>
              <w:pStyle w:val="15"/>
              <w:widowControl w:val="0"/>
              <w:jc w:val="both"/>
              <w:rPr>
                <w:rFonts w:ascii="宋体" w:hAnsi="宋体"/>
                <w:bCs/>
              </w:rPr>
            </w:pPr>
            <w:r>
              <w:rPr>
                <w:rFonts w:hint="eastAsia" w:ascii="宋体" w:hAnsi="宋体"/>
                <w:bCs/>
              </w:rPr>
              <w:t>① 能根据小组实践需要确定阶段性实践目标，并设计小组实践计划。</w:t>
            </w:r>
          </w:p>
        </w:tc>
      </w:tr>
      <w:tr w14:paraId="0D41715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0" w:hRule="atLeast"/>
        </w:trPr>
        <w:tc>
          <w:tcPr>
            <w:tcW w:w="8296" w:type="dxa"/>
          </w:tcPr>
          <w:p w14:paraId="6B311280">
            <w:pPr>
              <w:pStyle w:val="15"/>
              <w:widowControl w:val="0"/>
              <w:jc w:val="both"/>
              <w:rPr>
                <w:rFonts w:ascii="宋体" w:hAnsi="宋体"/>
                <w:bCs/>
              </w:rPr>
            </w:pPr>
            <w:r>
              <w:rPr>
                <w:rFonts w:ascii="宋体" w:hAnsi="宋体"/>
                <w:bCs/>
              </w:rPr>
              <w:t>LO6</w:t>
            </w:r>
            <w:r>
              <w:rPr>
                <w:rFonts w:hint="eastAsia" w:ascii="宋体" w:hAnsi="宋体"/>
                <w:bCs/>
              </w:rPr>
              <w:t xml:space="preserve"> </w:t>
            </w:r>
            <w:r>
              <w:rPr>
                <w:rFonts w:ascii="宋体" w:hAnsi="宋体"/>
                <w:bCs/>
              </w:rPr>
              <w:t>协同创新：同群体保持良好的合作关系，做集体中的积极成员，善于自我管理和团队管理；善于从多个维度思考问题，利用自己的知识与实践来提出新设想。</w:t>
            </w:r>
          </w:p>
          <w:p w14:paraId="549FB076">
            <w:pPr>
              <w:pStyle w:val="15"/>
              <w:widowControl w:val="0"/>
              <w:jc w:val="both"/>
              <w:rPr>
                <w:rFonts w:ascii="宋体" w:hAnsi="宋体"/>
                <w:bCs/>
              </w:rPr>
            </w:pPr>
            <w:r>
              <w:rPr>
                <w:rFonts w:hint="eastAsia" w:ascii="宋体" w:hAnsi="宋体"/>
                <w:bCs/>
              </w:rPr>
              <w:t>③ 能用较新的论题见解来剖析、论证相关实践问题。</w:t>
            </w:r>
          </w:p>
        </w:tc>
      </w:tr>
      <w:tr w14:paraId="74BA4B4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2A6D61A">
            <w:pPr>
              <w:pStyle w:val="15"/>
              <w:widowControl w:val="0"/>
              <w:jc w:val="both"/>
              <w:rPr>
                <w:rFonts w:ascii="宋体" w:hAnsi="宋体"/>
                <w:bCs/>
              </w:rPr>
            </w:pPr>
            <w:r>
              <w:rPr>
                <w:rFonts w:ascii="宋体" w:hAnsi="宋体"/>
                <w:bCs/>
              </w:rPr>
              <w:t>L</w:t>
            </w:r>
            <w:r>
              <w:rPr>
                <w:rFonts w:hint="eastAsia" w:ascii="宋体" w:hAnsi="宋体"/>
                <w:bCs/>
              </w:rPr>
              <w:t>07 信息应用：具备一定的信息素养，并能在工作中应用信息技术和工具解决问题。</w:t>
            </w:r>
          </w:p>
          <w:p w14:paraId="75706AB3">
            <w:pPr>
              <w:pStyle w:val="15"/>
              <w:widowControl w:val="0"/>
              <w:jc w:val="both"/>
              <w:rPr>
                <w:rFonts w:ascii="宋体" w:hAnsi="宋体"/>
                <w:bCs/>
              </w:rPr>
            </w:pPr>
            <w:r>
              <w:rPr>
                <w:rFonts w:hint="eastAsia" w:ascii="宋体" w:hAnsi="宋体"/>
                <w:bCs/>
              </w:rPr>
              <w:t>③ 能够使用适合的网络检索工具和软件来辅助学习。</w:t>
            </w:r>
          </w:p>
        </w:tc>
      </w:tr>
    </w:tbl>
    <w:p w14:paraId="29E63B75">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801"/>
        <w:gridCol w:w="803"/>
        <w:gridCol w:w="4744"/>
        <w:gridCol w:w="1348"/>
      </w:tblGrid>
      <w:tr w14:paraId="2586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0083C38F">
            <w:pPr>
              <w:pStyle w:val="14"/>
              <w:rPr>
                <w:szCs w:val="16"/>
              </w:rPr>
            </w:pPr>
            <w:r>
              <w:rPr>
                <w:rFonts w:hint="eastAsia"/>
              </w:rPr>
              <w:t>毕业要求</w:t>
            </w:r>
          </w:p>
        </w:tc>
        <w:tc>
          <w:tcPr>
            <w:tcW w:w="782" w:type="dxa"/>
            <w:tcBorders>
              <w:top w:val="single" w:color="auto" w:sz="12" w:space="0"/>
              <w:left w:val="single" w:color="auto" w:sz="4" w:space="0"/>
            </w:tcBorders>
            <w:tcMar>
              <w:top w:w="57" w:type="dxa"/>
              <w:left w:w="85" w:type="dxa"/>
              <w:bottom w:w="57" w:type="dxa"/>
              <w:right w:w="85" w:type="dxa"/>
            </w:tcMar>
            <w:vAlign w:val="center"/>
          </w:tcPr>
          <w:p w14:paraId="59F2066F">
            <w:pPr>
              <w:pStyle w:val="14"/>
            </w:pPr>
            <w:r>
              <w:rPr>
                <w:rFonts w:hint="eastAsia"/>
              </w:rPr>
              <w:t>指标点</w:t>
            </w:r>
          </w:p>
        </w:tc>
        <w:tc>
          <w:tcPr>
            <w:tcW w:w="784"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34EDC716">
            <w:pPr>
              <w:pStyle w:val="14"/>
            </w:pPr>
            <w:r>
              <w:rPr>
                <w:rFonts w:hint="eastAsia"/>
              </w:rPr>
              <w:t>支撑度</w:t>
            </w:r>
          </w:p>
        </w:tc>
        <w:tc>
          <w:tcPr>
            <w:tcW w:w="4632" w:type="dxa"/>
            <w:tcBorders>
              <w:top w:val="single" w:color="auto" w:sz="12" w:space="0"/>
            </w:tcBorders>
            <w:tcMar>
              <w:top w:w="57" w:type="dxa"/>
              <w:left w:w="85" w:type="dxa"/>
              <w:bottom w:w="57" w:type="dxa"/>
              <w:right w:w="85" w:type="dxa"/>
            </w:tcMar>
            <w:vAlign w:val="center"/>
          </w:tcPr>
          <w:p w14:paraId="20FB787A">
            <w:pPr>
              <w:pStyle w:val="14"/>
            </w:pPr>
            <w:r>
              <w:rPr>
                <w:rFonts w:hint="eastAsia"/>
              </w:rPr>
              <w:t>课程目标</w:t>
            </w:r>
          </w:p>
        </w:tc>
        <w:tc>
          <w:tcPr>
            <w:tcW w:w="1316" w:type="dxa"/>
            <w:tcBorders>
              <w:top w:val="single" w:color="auto" w:sz="12" w:space="0"/>
              <w:right w:val="single" w:color="auto" w:sz="12" w:space="0"/>
            </w:tcBorders>
            <w:tcMar>
              <w:top w:w="57" w:type="dxa"/>
              <w:left w:w="85" w:type="dxa"/>
              <w:bottom w:w="57" w:type="dxa"/>
              <w:right w:w="85" w:type="dxa"/>
            </w:tcMar>
            <w:vAlign w:val="center"/>
          </w:tcPr>
          <w:p w14:paraId="6A499FDB">
            <w:pPr>
              <w:pStyle w:val="14"/>
            </w:pPr>
            <w:r>
              <w:rPr>
                <w:rFonts w:hint="eastAsia"/>
              </w:rPr>
              <w:t>对指标点的贡献度</w:t>
            </w:r>
          </w:p>
        </w:tc>
      </w:tr>
      <w:tr w14:paraId="0D71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3733CC71">
            <w:pPr>
              <w:pStyle w:val="15"/>
            </w:pPr>
            <w:r>
              <w:rPr>
                <w:rFonts w:hint="eastAsia"/>
              </w:rPr>
              <w:t>LO</w:t>
            </w:r>
            <w:r>
              <w:rPr>
                <w:rFonts w:hint="eastAsia" w:ascii="宋体" w:hAnsi="宋体"/>
              </w:rPr>
              <w:t>1</w:t>
            </w:r>
          </w:p>
        </w:tc>
        <w:tc>
          <w:tcPr>
            <w:tcW w:w="782" w:type="dxa"/>
            <w:tcBorders>
              <w:left w:val="single" w:color="auto" w:sz="4" w:space="0"/>
            </w:tcBorders>
            <w:tcMar>
              <w:top w:w="57" w:type="dxa"/>
              <w:left w:w="85" w:type="dxa"/>
              <w:bottom w:w="57" w:type="dxa"/>
              <w:right w:w="85" w:type="dxa"/>
            </w:tcMar>
            <w:vAlign w:val="center"/>
          </w:tcPr>
          <w:p w14:paraId="5936EF3B">
            <w:pPr>
              <w:pStyle w:val="15"/>
            </w:pPr>
            <w:r>
              <w:rPr>
                <w:rFonts w:hint="eastAsia" w:ascii="宋体" w:hAnsi="宋体"/>
                <w:bCs/>
                <w:sz w:val="24"/>
              </w:rPr>
              <w:t>⑤</w:t>
            </w:r>
          </w:p>
        </w:tc>
        <w:tc>
          <w:tcPr>
            <w:tcW w:w="784" w:type="dxa"/>
            <w:tcBorders>
              <w:right w:val="double" w:color="auto" w:sz="4" w:space="0"/>
            </w:tcBorders>
            <w:shd w:val="clear" w:color="auto" w:fill="auto"/>
            <w:tcMar>
              <w:top w:w="57" w:type="dxa"/>
              <w:left w:w="85" w:type="dxa"/>
              <w:bottom w:w="57" w:type="dxa"/>
              <w:right w:w="85" w:type="dxa"/>
            </w:tcMar>
            <w:vAlign w:val="center"/>
          </w:tcPr>
          <w:p w14:paraId="2B847EA8">
            <w:pPr>
              <w:pStyle w:val="15"/>
            </w:pPr>
            <w:r>
              <w:t>L</w:t>
            </w:r>
          </w:p>
        </w:tc>
        <w:tc>
          <w:tcPr>
            <w:tcW w:w="4632" w:type="dxa"/>
            <w:tcMar>
              <w:top w:w="57" w:type="dxa"/>
              <w:left w:w="85" w:type="dxa"/>
              <w:bottom w:w="57" w:type="dxa"/>
              <w:right w:w="85" w:type="dxa"/>
            </w:tcMar>
            <w:vAlign w:val="center"/>
          </w:tcPr>
          <w:p w14:paraId="14FBACCE">
            <w:pPr>
              <w:pStyle w:val="15"/>
              <w:rPr>
                <w:rFonts w:ascii="宋体" w:hAnsi="宋体"/>
                <w:bCs/>
              </w:rPr>
            </w:pPr>
            <w:r>
              <w:rPr>
                <w:rFonts w:ascii="宋体" w:hAnsi="宋体"/>
                <w:bCs/>
              </w:rPr>
              <w:t xml:space="preserve">5. </w:t>
            </w:r>
            <w:r>
              <w:rPr>
                <w:rFonts w:hint="eastAsia" w:ascii="宋体" w:hAnsi="宋体"/>
                <w:bCs/>
              </w:rPr>
              <w:t>热爱所学专业，勤学多练，锤炼技能。熟悉本专业相关的学习范例，在实践中自觉遵守学生规范，具备学习者的素养。</w:t>
            </w:r>
          </w:p>
        </w:tc>
        <w:tc>
          <w:tcPr>
            <w:tcW w:w="1316" w:type="dxa"/>
            <w:tcBorders>
              <w:right w:val="single" w:color="auto" w:sz="12" w:space="0"/>
            </w:tcBorders>
            <w:tcMar>
              <w:top w:w="57" w:type="dxa"/>
              <w:left w:w="85" w:type="dxa"/>
              <w:bottom w:w="57" w:type="dxa"/>
              <w:right w:w="85" w:type="dxa"/>
            </w:tcMar>
            <w:vAlign w:val="center"/>
          </w:tcPr>
          <w:p w14:paraId="1621100A">
            <w:pPr>
              <w:pStyle w:val="15"/>
              <w:rPr>
                <w:bCs/>
              </w:rPr>
            </w:pPr>
            <w:r>
              <w:rPr>
                <w:rFonts w:hint="eastAsia"/>
              </w:rPr>
              <w:t>100%</w:t>
            </w:r>
          </w:p>
        </w:tc>
      </w:tr>
      <w:tr w14:paraId="1DA9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68"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435D5D2C">
            <w:pPr>
              <w:pStyle w:val="15"/>
            </w:pPr>
            <w:r>
              <w:rPr>
                <w:rFonts w:hint="eastAsia"/>
              </w:rPr>
              <w:t>LO</w:t>
            </w:r>
            <w:r>
              <w:rPr>
                <w:rFonts w:hint="eastAsia" w:ascii="宋体" w:hAnsi="宋体"/>
              </w:rPr>
              <w:t>2</w:t>
            </w:r>
          </w:p>
        </w:tc>
        <w:tc>
          <w:tcPr>
            <w:tcW w:w="782" w:type="dxa"/>
            <w:tcBorders>
              <w:left w:val="single" w:color="auto" w:sz="4" w:space="0"/>
            </w:tcBorders>
            <w:tcMar>
              <w:top w:w="57" w:type="dxa"/>
              <w:left w:w="85" w:type="dxa"/>
              <w:bottom w:w="57" w:type="dxa"/>
              <w:right w:w="85" w:type="dxa"/>
            </w:tcMar>
            <w:vAlign w:val="center"/>
          </w:tcPr>
          <w:p w14:paraId="6FCC37D3">
            <w:pPr>
              <w:jc w:val="center"/>
              <w:rPr>
                <w:rFonts w:ascii="Times New Roman" w:hAnsi="Times New Roman"/>
                <w:color w:val="000000"/>
                <w:sz w:val="21"/>
                <w:szCs w:val="21"/>
              </w:rPr>
            </w:pPr>
            <w:r>
              <w:rPr>
                <w:rFonts w:hint="eastAsia"/>
                <w:bCs/>
              </w:rPr>
              <w:t>①</w:t>
            </w:r>
          </w:p>
        </w:tc>
        <w:tc>
          <w:tcPr>
            <w:tcW w:w="784" w:type="dxa"/>
            <w:tcBorders>
              <w:right w:val="double" w:color="auto" w:sz="4" w:space="0"/>
            </w:tcBorders>
            <w:shd w:val="clear" w:color="auto" w:fill="auto"/>
            <w:tcMar>
              <w:top w:w="57" w:type="dxa"/>
              <w:left w:w="85" w:type="dxa"/>
              <w:bottom w:w="57" w:type="dxa"/>
              <w:right w:w="85" w:type="dxa"/>
            </w:tcMar>
            <w:vAlign w:val="center"/>
          </w:tcPr>
          <w:p w14:paraId="08868780">
            <w:pPr>
              <w:pStyle w:val="15"/>
            </w:pPr>
            <w:r>
              <w:rPr>
                <w:rFonts w:hint="eastAsia"/>
              </w:rPr>
              <w:t>M</w:t>
            </w:r>
          </w:p>
        </w:tc>
        <w:tc>
          <w:tcPr>
            <w:tcW w:w="4632" w:type="dxa"/>
            <w:tcMar>
              <w:top w:w="57" w:type="dxa"/>
              <w:left w:w="85" w:type="dxa"/>
              <w:bottom w:w="57" w:type="dxa"/>
              <w:right w:w="85" w:type="dxa"/>
            </w:tcMar>
            <w:vAlign w:val="center"/>
          </w:tcPr>
          <w:p w14:paraId="2C08F811">
            <w:pPr>
              <w:pStyle w:val="15"/>
              <w:rPr>
                <w:rFonts w:ascii="宋体" w:hAnsi="宋体"/>
                <w:bCs/>
              </w:rPr>
            </w:pPr>
            <w:r>
              <w:rPr>
                <w:rFonts w:hint="eastAsia" w:ascii="宋体" w:hAnsi="宋体"/>
                <w:bCs/>
              </w:rPr>
              <w:t>1</w:t>
            </w:r>
            <w:r>
              <w:rPr>
                <w:rFonts w:ascii="宋体" w:hAnsi="宋体"/>
                <w:bCs/>
              </w:rPr>
              <w:t>. 具有专业所需的人文科学素养, 善于钻研、实践。</w:t>
            </w:r>
          </w:p>
        </w:tc>
        <w:tc>
          <w:tcPr>
            <w:tcW w:w="1316" w:type="dxa"/>
            <w:tcBorders>
              <w:right w:val="single" w:color="auto" w:sz="12" w:space="0"/>
            </w:tcBorders>
            <w:tcMar>
              <w:top w:w="57" w:type="dxa"/>
              <w:left w:w="85" w:type="dxa"/>
              <w:bottom w:w="57" w:type="dxa"/>
              <w:right w:w="85" w:type="dxa"/>
            </w:tcMar>
            <w:vAlign w:val="center"/>
          </w:tcPr>
          <w:p w14:paraId="6F217159">
            <w:pPr>
              <w:pStyle w:val="15"/>
            </w:pPr>
            <w:r>
              <w:t>100</w:t>
            </w:r>
            <w:r>
              <w:rPr>
                <w:rFonts w:hint="eastAsia"/>
              </w:rPr>
              <w:t>%</w:t>
            </w:r>
          </w:p>
          <w:p w14:paraId="710666FA">
            <w:pPr>
              <w:pStyle w:val="15"/>
            </w:pPr>
          </w:p>
        </w:tc>
      </w:tr>
      <w:tr w14:paraId="0DF9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5" w:hRule="atLeast"/>
          <w:jc w:val="center"/>
        </w:trPr>
        <w:tc>
          <w:tcPr>
            <w:tcW w:w="762"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0C35BF5C">
            <w:pPr>
              <w:pStyle w:val="15"/>
            </w:pPr>
            <w:r>
              <w:rPr>
                <w:rFonts w:hint="eastAsia"/>
              </w:rPr>
              <w:t>L</w:t>
            </w:r>
            <w:r>
              <w:t>04</w:t>
            </w:r>
          </w:p>
        </w:tc>
        <w:tc>
          <w:tcPr>
            <w:tcW w:w="782" w:type="dxa"/>
            <w:vMerge w:val="restart"/>
            <w:tcBorders>
              <w:left w:val="single" w:color="auto" w:sz="4" w:space="0"/>
            </w:tcBorders>
            <w:tcMar>
              <w:top w:w="57" w:type="dxa"/>
              <w:left w:w="85" w:type="dxa"/>
              <w:bottom w:w="57" w:type="dxa"/>
              <w:right w:w="85" w:type="dxa"/>
            </w:tcMar>
            <w:vAlign w:val="center"/>
          </w:tcPr>
          <w:p w14:paraId="04FAE85E">
            <w:pPr>
              <w:pStyle w:val="15"/>
            </w:pPr>
            <w:r>
              <w:rPr>
                <w:rFonts w:hint="eastAsia" w:ascii="宋体" w:hAnsi="宋体"/>
                <w:bCs/>
                <w:sz w:val="24"/>
              </w:rPr>
              <w:t>①</w:t>
            </w:r>
          </w:p>
        </w:tc>
        <w:tc>
          <w:tcPr>
            <w:tcW w:w="784" w:type="dxa"/>
            <w:vMerge w:val="restart"/>
            <w:tcBorders>
              <w:right w:val="double" w:color="auto" w:sz="4" w:space="0"/>
            </w:tcBorders>
            <w:shd w:val="clear" w:color="auto" w:fill="auto"/>
            <w:tcMar>
              <w:top w:w="57" w:type="dxa"/>
              <w:left w:w="85" w:type="dxa"/>
              <w:bottom w:w="57" w:type="dxa"/>
              <w:right w:w="85" w:type="dxa"/>
            </w:tcMar>
            <w:vAlign w:val="center"/>
          </w:tcPr>
          <w:p w14:paraId="28B11D9D">
            <w:pPr>
              <w:pStyle w:val="15"/>
            </w:pPr>
            <w:r>
              <w:rPr>
                <w:rFonts w:hint="eastAsia"/>
              </w:rPr>
              <w:t>H</w:t>
            </w:r>
          </w:p>
        </w:tc>
        <w:tc>
          <w:tcPr>
            <w:tcW w:w="4632" w:type="dxa"/>
            <w:tcMar>
              <w:top w:w="57" w:type="dxa"/>
              <w:left w:w="85" w:type="dxa"/>
              <w:bottom w:w="57" w:type="dxa"/>
              <w:right w:w="85" w:type="dxa"/>
            </w:tcMar>
            <w:vAlign w:val="center"/>
          </w:tcPr>
          <w:p w14:paraId="2DC9E41B">
            <w:pPr>
              <w:pStyle w:val="15"/>
            </w:pPr>
            <w:r>
              <w:rPr>
                <w:rFonts w:hint="eastAsia"/>
              </w:rPr>
              <w:t>1</w:t>
            </w:r>
            <w:r>
              <w:rPr>
                <w:rFonts w:ascii="宋体" w:hAnsi="宋体"/>
                <w:bCs/>
              </w:rPr>
              <w:t>.</w:t>
            </w:r>
            <w:r>
              <w:rPr>
                <w:rFonts w:hint="eastAsia"/>
              </w:rPr>
              <w:t xml:space="preserve"> </w:t>
            </w:r>
            <w:r>
              <w:rPr>
                <w:rFonts w:hint="eastAsia" w:ascii="宋体" w:hAnsi="宋体"/>
                <w:bCs/>
              </w:rPr>
              <w:t>能根据小组实践需要确定阶段性实践目标，并设计小组实践计划。</w:t>
            </w:r>
          </w:p>
        </w:tc>
        <w:tc>
          <w:tcPr>
            <w:tcW w:w="1316" w:type="dxa"/>
            <w:tcBorders>
              <w:right w:val="single" w:color="auto" w:sz="12" w:space="0"/>
            </w:tcBorders>
            <w:tcMar>
              <w:top w:w="57" w:type="dxa"/>
              <w:left w:w="85" w:type="dxa"/>
              <w:bottom w:w="57" w:type="dxa"/>
              <w:right w:w="85" w:type="dxa"/>
            </w:tcMar>
            <w:vAlign w:val="center"/>
          </w:tcPr>
          <w:p w14:paraId="3540B202">
            <w:pPr>
              <w:pStyle w:val="15"/>
            </w:pPr>
            <w:r>
              <w:t>50%</w:t>
            </w:r>
          </w:p>
        </w:tc>
      </w:tr>
      <w:tr w14:paraId="3EC9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0" w:hRule="atLeast"/>
          <w:jc w:val="center"/>
        </w:trPr>
        <w:tc>
          <w:tcPr>
            <w:tcW w:w="762"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45FC25B1">
            <w:pPr>
              <w:pStyle w:val="15"/>
              <w:rPr>
                <w:rFonts w:hint="eastAsia"/>
              </w:rPr>
            </w:pPr>
          </w:p>
        </w:tc>
        <w:tc>
          <w:tcPr>
            <w:tcW w:w="782" w:type="dxa"/>
            <w:vMerge w:val="continue"/>
            <w:tcBorders>
              <w:left w:val="single" w:color="auto" w:sz="4" w:space="0"/>
            </w:tcBorders>
            <w:tcMar>
              <w:top w:w="57" w:type="dxa"/>
              <w:left w:w="85" w:type="dxa"/>
              <w:bottom w:w="57" w:type="dxa"/>
              <w:right w:w="85" w:type="dxa"/>
            </w:tcMar>
            <w:vAlign w:val="center"/>
          </w:tcPr>
          <w:p w14:paraId="753EC2FA">
            <w:pPr>
              <w:pStyle w:val="15"/>
              <w:rPr>
                <w:rFonts w:hint="eastAsia" w:ascii="宋体" w:hAnsi="宋体"/>
                <w:bCs/>
                <w:sz w:val="24"/>
              </w:rPr>
            </w:pPr>
          </w:p>
        </w:tc>
        <w:tc>
          <w:tcPr>
            <w:tcW w:w="784" w:type="dxa"/>
            <w:vMerge w:val="continue"/>
            <w:tcBorders>
              <w:right w:val="double" w:color="auto" w:sz="4" w:space="0"/>
            </w:tcBorders>
            <w:shd w:val="clear" w:color="auto" w:fill="auto"/>
            <w:tcMar>
              <w:top w:w="57" w:type="dxa"/>
              <w:left w:w="85" w:type="dxa"/>
              <w:bottom w:w="57" w:type="dxa"/>
              <w:right w:w="85" w:type="dxa"/>
            </w:tcMar>
            <w:vAlign w:val="center"/>
          </w:tcPr>
          <w:p w14:paraId="03CADC32">
            <w:pPr>
              <w:pStyle w:val="15"/>
              <w:rPr>
                <w:rFonts w:hint="eastAsia"/>
              </w:rPr>
            </w:pPr>
          </w:p>
        </w:tc>
        <w:tc>
          <w:tcPr>
            <w:tcW w:w="4632" w:type="dxa"/>
            <w:tcMar>
              <w:top w:w="57" w:type="dxa"/>
              <w:left w:w="85" w:type="dxa"/>
              <w:bottom w:w="57" w:type="dxa"/>
              <w:right w:w="85" w:type="dxa"/>
            </w:tcMar>
            <w:vAlign w:val="center"/>
          </w:tcPr>
          <w:p w14:paraId="186E28E2">
            <w:pPr>
              <w:pStyle w:val="15"/>
              <w:jc w:val="both"/>
              <w:rPr>
                <w:rFonts w:hint="eastAsia"/>
              </w:rPr>
            </w:pPr>
            <w:r>
              <w:t>2</w:t>
            </w:r>
            <w:r>
              <w:rPr>
                <w:rFonts w:ascii="宋体" w:hAnsi="宋体"/>
                <w:bCs/>
              </w:rPr>
              <w:t xml:space="preserve">. </w:t>
            </w:r>
            <w:r>
              <w:rPr>
                <w:rFonts w:hint="eastAsia"/>
              </w:rPr>
              <w:t>能搜集、获取达到目标所需要的学习资源，实施学习计划、反思学习计划、持续改进，达到学习目标。</w:t>
            </w:r>
          </w:p>
        </w:tc>
        <w:tc>
          <w:tcPr>
            <w:tcW w:w="1316" w:type="dxa"/>
            <w:tcBorders>
              <w:right w:val="single" w:color="auto" w:sz="12" w:space="0"/>
            </w:tcBorders>
            <w:tcMar>
              <w:top w:w="57" w:type="dxa"/>
              <w:left w:w="85" w:type="dxa"/>
              <w:bottom w:w="57" w:type="dxa"/>
              <w:right w:w="85" w:type="dxa"/>
            </w:tcMar>
            <w:vAlign w:val="center"/>
          </w:tcPr>
          <w:p w14:paraId="55231ADA">
            <w:pPr>
              <w:pStyle w:val="15"/>
              <w:rPr>
                <w:rFonts w:hint="eastAsia"/>
              </w:rPr>
            </w:pPr>
            <w:r>
              <w:t>50%</w:t>
            </w:r>
          </w:p>
        </w:tc>
      </w:tr>
      <w:tr w14:paraId="2091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3F81AD5D">
            <w:pPr>
              <w:pStyle w:val="15"/>
            </w:pPr>
            <w:r>
              <w:rPr>
                <w:rFonts w:hint="eastAsia"/>
              </w:rPr>
              <w:t>LO</w:t>
            </w:r>
            <w:r>
              <w:rPr>
                <w:rFonts w:hint="eastAsia" w:ascii="宋体" w:hAnsi="宋体"/>
              </w:rPr>
              <w:t>6</w:t>
            </w:r>
          </w:p>
        </w:tc>
        <w:tc>
          <w:tcPr>
            <w:tcW w:w="782" w:type="dxa"/>
            <w:tcBorders>
              <w:left w:val="single" w:color="auto" w:sz="4" w:space="0"/>
            </w:tcBorders>
            <w:tcMar>
              <w:top w:w="57" w:type="dxa"/>
              <w:left w:w="85" w:type="dxa"/>
              <w:bottom w:w="57" w:type="dxa"/>
              <w:right w:w="85" w:type="dxa"/>
            </w:tcMar>
            <w:vAlign w:val="center"/>
          </w:tcPr>
          <w:p w14:paraId="6CE49728">
            <w:pPr>
              <w:pStyle w:val="15"/>
            </w:pPr>
            <w:r>
              <w:rPr>
                <w:rFonts w:hint="eastAsia" w:ascii="宋体" w:hAnsi="宋体"/>
                <w:bCs/>
                <w:sz w:val="24"/>
              </w:rPr>
              <w:t>③</w:t>
            </w:r>
          </w:p>
        </w:tc>
        <w:tc>
          <w:tcPr>
            <w:tcW w:w="784" w:type="dxa"/>
            <w:tcBorders>
              <w:right w:val="double" w:color="auto" w:sz="4" w:space="0"/>
            </w:tcBorders>
            <w:shd w:val="clear" w:color="auto" w:fill="auto"/>
            <w:tcMar>
              <w:top w:w="57" w:type="dxa"/>
              <w:left w:w="85" w:type="dxa"/>
              <w:bottom w:w="57" w:type="dxa"/>
              <w:right w:w="85" w:type="dxa"/>
            </w:tcMar>
            <w:vAlign w:val="center"/>
          </w:tcPr>
          <w:p w14:paraId="1887D996">
            <w:pPr>
              <w:pStyle w:val="15"/>
              <w:rPr>
                <w:rFonts w:ascii="宋体" w:hAnsi="宋体"/>
              </w:rPr>
            </w:pPr>
            <w:r>
              <w:rPr>
                <w:rFonts w:hint="eastAsia"/>
              </w:rPr>
              <w:t>M</w:t>
            </w:r>
          </w:p>
        </w:tc>
        <w:tc>
          <w:tcPr>
            <w:tcW w:w="4632" w:type="dxa"/>
            <w:tcMar>
              <w:top w:w="57" w:type="dxa"/>
              <w:left w:w="85" w:type="dxa"/>
              <w:bottom w:w="57" w:type="dxa"/>
              <w:right w:w="85" w:type="dxa"/>
            </w:tcMar>
            <w:vAlign w:val="center"/>
          </w:tcPr>
          <w:p w14:paraId="2EB3134E">
            <w:pPr>
              <w:pStyle w:val="15"/>
            </w:pPr>
            <w:r>
              <w:rPr>
                <w:rFonts w:hint="eastAsia"/>
              </w:rPr>
              <w:t>3</w:t>
            </w:r>
            <w:r>
              <w:rPr>
                <w:rFonts w:ascii="宋体" w:hAnsi="宋体"/>
                <w:bCs/>
              </w:rPr>
              <w:t>.</w:t>
            </w:r>
            <w:r>
              <w:t xml:space="preserve"> </w:t>
            </w:r>
            <w:r>
              <w:rPr>
                <w:rFonts w:hint="eastAsia" w:ascii="宋体" w:hAnsi="宋体"/>
                <w:bCs/>
              </w:rPr>
              <w:t>能用较新的论题见解来剖析、论证相关实践问题。</w:t>
            </w:r>
          </w:p>
        </w:tc>
        <w:tc>
          <w:tcPr>
            <w:tcW w:w="1316" w:type="dxa"/>
            <w:tcBorders>
              <w:right w:val="single" w:color="auto" w:sz="12" w:space="0"/>
            </w:tcBorders>
            <w:tcMar>
              <w:top w:w="57" w:type="dxa"/>
              <w:left w:w="85" w:type="dxa"/>
              <w:bottom w:w="57" w:type="dxa"/>
              <w:right w:w="85" w:type="dxa"/>
            </w:tcMar>
            <w:vAlign w:val="center"/>
          </w:tcPr>
          <w:p w14:paraId="26F85993">
            <w:pPr>
              <w:pStyle w:val="15"/>
            </w:pPr>
            <w:r>
              <w:t>10</w:t>
            </w:r>
            <w:r>
              <w:rPr>
                <w:rFonts w:hint="eastAsia"/>
              </w:rPr>
              <w:t>0%</w:t>
            </w:r>
          </w:p>
        </w:tc>
      </w:tr>
      <w:tr w14:paraId="29C0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7B6256A5">
            <w:pPr>
              <w:pStyle w:val="15"/>
            </w:pPr>
            <w:r>
              <w:rPr>
                <w:rFonts w:hint="eastAsia"/>
              </w:rPr>
              <w:t>LO7</w:t>
            </w:r>
          </w:p>
        </w:tc>
        <w:tc>
          <w:tcPr>
            <w:tcW w:w="782" w:type="dxa"/>
            <w:tcBorders>
              <w:left w:val="single" w:color="auto" w:sz="4" w:space="0"/>
              <w:bottom w:val="single" w:color="auto" w:sz="12" w:space="0"/>
            </w:tcBorders>
            <w:tcMar>
              <w:top w:w="57" w:type="dxa"/>
              <w:left w:w="85" w:type="dxa"/>
              <w:bottom w:w="57" w:type="dxa"/>
              <w:right w:w="85" w:type="dxa"/>
            </w:tcMar>
            <w:vAlign w:val="center"/>
          </w:tcPr>
          <w:p w14:paraId="06A2E99D">
            <w:pPr>
              <w:pStyle w:val="15"/>
            </w:pPr>
            <w:r>
              <w:rPr>
                <w:rFonts w:hint="eastAsia" w:ascii="宋体" w:hAnsi="宋体"/>
                <w:bCs/>
                <w:sz w:val="24"/>
              </w:rPr>
              <w:t>③</w:t>
            </w:r>
          </w:p>
        </w:tc>
        <w:tc>
          <w:tcPr>
            <w:tcW w:w="784"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32E8CE47">
            <w:pPr>
              <w:pStyle w:val="15"/>
              <w:rPr>
                <w:rFonts w:ascii="宋体" w:hAnsi="宋体"/>
              </w:rPr>
            </w:pPr>
            <w:r>
              <w:rPr>
                <w:rFonts w:hint="eastAsia"/>
              </w:rPr>
              <w:t>M</w:t>
            </w:r>
          </w:p>
        </w:tc>
        <w:tc>
          <w:tcPr>
            <w:tcW w:w="4632" w:type="dxa"/>
            <w:tcBorders>
              <w:bottom w:val="single" w:color="auto" w:sz="12" w:space="0"/>
            </w:tcBorders>
            <w:tcMar>
              <w:top w:w="57" w:type="dxa"/>
              <w:left w:w="85" w:type="dxa"/>
              <w:bottom w:w="57" w:type="dxa"/>
              <w:right w:w="85" w:type="dxa"/>
            </w:tcMar>
            <w:vAlign w:val="center"/>
          </w:tcPr>
          <w:p w14:paraId="283E5402">
            <w:pPr>
              <w:pStyle w:val="15"/>
            </w:pPr>
            <w:r>
              <w:rPr>
                <w:rFonts w:hint="eastAsia" w:ascii="宋体" w:hAnsi="宋体"/>
                <w:bCs/>
              </w:rPr>
              <w:t>3. 能够使用适合的网络检索工具和软件来辅助学习。</w:t>
            </w:r>
          </w:p>
        </w:tc>
        <w:tc>
          <w:tcPr>
            <w:tcW w:w="1316" w:type="dxa"/>
            <w:tcBorders>
              <w:bottom w:val="single" w:color="auto" w:sz="12" w:space="0"/>
              <w:right w:val="single" w:color="auto" w:sz="12" w:space="0"/>
            </w:tcBorders>
            <w:tcMar>
              <w:top w:w="57" w:type="dxa"/>
              <w:left w:w="85" w:type="dxa"/>
              <w:bottom w:w="57" w:type="dxa"/>
              <w:right w:w="85" w:type="dxa"/>
            </w:tcMar>
            <w:vAlign w:val="center"/>
          </w:tcPr>
          <w:p w14:paraId="7A299EE0">
            <w:pPr>
              <w:pStyle w:val="15"/>
            </w:pPr>
            <w:r>
              <w:t>10</w:t>
            </w:r>
            <w:r>
              <w:rPr>
                <w:rFonts w:hint="eastAsia"/>
              </w:rPr>
              <w:t>0%</w:t>
            </w:r>
          </w:p>
        </w:tc>
      </w:tr>
    </w:tbl>
    <w:p w14:paraId="67BEFEED">
      <w:pPr>
        <w:pStyle w:val="14"/>
      </w:pPr>
    </w:p>
    <w:p w14:paraId="2546B88B">
      <w:pPr>
        <w:pStyle w:val="17"/>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25227C4C">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872"/>
        <w:gridCol w:w="2028"/>
        <w:gridCol w:w="870"/>
        <w:gridCol w:w="868"/>
        <w:gridCol w:w="805"/>
      </w:tblGrid>
      <w:tr w14:paraId="57E67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3707343F">
            <w:pPr>
              <w:pStyle w:val="14"/>
              <w:rPr>
                <w:szCs w:val="16"/>
              </w:rPr>
            </w:pPr>
            <w:r>
              <w:rPr>
                <w:rFonts w:hint="eastAsia"/>
                <w:szCs w:val="16"/>
              </w:rPr>
              <w:t>序号</w:t>
            </w:r>
          </w:p>
        </w:tc>
        <w:tc>
          <w:tcPr>
            <w:tcW w:w="2804" w:type="dxa"/>
            <w:vMerge w:val="restart"/>
            <w:tcBorders>
              <w:top w:val="single" w:color="auto" w:sz="12" w:space="0"/>
              <w:bottom w:val="single" w:color="auto" w:sz="4" w:space="0"/>
            </w:tcBorders>
            <w:shd w:val="clear" w:color="auto" w:fill="auto"/>
            <w:vAlign w:val="center"/>
          </w:tcPr>
          <w:p w14:paraId="2A6C170D">
            <w:pPr>
              <w:pStyle w:val="14"/>
              <w:rPr>
                <w:szCs w:val="16"/>
              </w:rPr>
            </w:pPr>
            <w:r>
              <w:rPr>
                <w:rFonts w:hint="eastAsia"/>
                <w:szCs w:val="16"/>
              </w:rPr>
              <w:t>实验项目名称</w:t>
            </w:r>
          </w:p>
        </w:tc>
        <w:tc>
          <w:tcPr>
            <w:tcW w:w="1980" w:type="dxa"/>
            <w:vMerge w:val="restart"/>
            <w:tcBorders>
              <w:top w:val="single" w:color="auto" w:sz="12" w:space="0"/>
              <w:bottom w:val="single" w:color="auto" w:sz="4" w:space="0"/>
            </w:tcBorders>
            <w:vAlign w:val="center"/>
          </w:tcPr>
          <w:p w14:paraId="0FBD101D">
            <w:pPr>
              <w:pStyle w:val="14"/>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631FD976">
            <w:pPr>
              <w:pStyle w:val="14"/>
              <w:rPr>
                <w:szCs w:val="16"/>
              </w:rPr>
            </w:pPr>
            <w:r>
              <w:rPr>
                <w:rFonts w:hint="eastAsia" w:ascii="黑体" w:hAnsi="黑体"/>
                <w:szCs w:val="21"/>
              </w:rPr>
              <w:t>学时</w:t>
            </w:r>
            <w:r>
              <w:rPr>
                <w:rFonts w:hint="eastAsia" w:ascii="黑体" w:hAnsi="黑体"/>
                <w:bCs w:val="0"/>
                <w:szCs w:val="21"/>
              </w:rPr>
              <w:t>分配</w:t>
            </w:r>
          </w:p>
        </w:tc>
      </w:tr>
      <w:tr w14:paraId="446B2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3F2971F2">
            <w:pPr>
              <w:pStyle w:val="14"/>
              <w:rPr>
                <w:szCs w:val="16"/>
              </w:rPr>
            </w:pPr>
          </w:p>
        </w:tc>
        <w:tc>
          <w:tcPr>
            <w:tcW w:w="2804" w:type="dxa"/>
            <w:vMerge w:val="continue"/>
            <w:tcBorders>
              <w:top w:val="single" w:color="auto" w:sz="4" w:space="0"/>
              <w:bottom w:val="single" w:color="auto" w:sz="4" w:space="0"/>
            </w:tcBorders>
            <w:shd w:val="clear" w:color="auto" w:fill="auto"/>
            <w:vAlign w:val="center"/>
          </w:tcPr>
          <w:p w14:paraId="340538C4">
            <w:pPr>
              <w:pStyle w:val="14"/>
              <w:rPr>
                <w:szCs w:val="16"/>
              </w:rPr>
            </w:pPr>
          </w:p>
        </w:tc>
        <w:tc>
          <w:tcPr>
            <w:tcW w:w="1980" w:type="dxa"/>
            <w:vMerge w:val="continue"/>
            <w:tcBorders>
              <w:top w:val="single" w:color="auto" w:sz="4" w:space="0"/>
              <w:bottom w:val="single" w:color="auto" w:sz="4" w:space="0"/>
            </w:tcBorders>
            <w:vAlign w:val="center"/>
          </w:tcPr>
          <w:p w14:paraId="475F879A">
            <w:pPr>
              <w:pStyle w:val="14"/>
              <w:rPr>
                <w:szCs w:val="16"/>
              </w:rPr>
            </w:pPr>
          </w:p>
        </w:tc>
        <w:tc>
          <w:tcPr>
            <w:tcW w:w="849" w:type="dxa"/>
            <w:tcBorders>
              <w:top w:val="single" w:color="auto" w:sz="4" w:space="0"/>
              <w:bottom w:val="single" w:color="auto" w:sz="4" w:space="0"/>
            </w:tcBorders>
            <w:shd w:val="clear" w:color="auto" w:fill="auto"/>
            <w:vAlign w:val="center"/>
          </w:tcPr>
          <w:p w14:paraId="36E1F4F7">
            <w:pPr>
              <w:pStyle w:val="14"/>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57F6F4A">
            <w:pPr>
              <w:pStyle w:val="14"/>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54DD2F44">
            <w:pPr>
              <w:pStyle w:val="14"/>
              <w:rPr>
                <w:rFonts w:ascii="黑体" w:hAnsi="黑体"/>
                <w:szCs w:val="21"/>
              </w:rPr>
            </w:pPr>
            <w:r>
              <w:rPr>
                <w:rFonts w:hint="eastAsia" w:ascii="黑体" w:hAnsi="黑体"/>
              </w:rPr>
              <w:t>小计</w:t>
            </w:r>
          </w:p>
        </w:tc>
      </w:tr>
      <w:tr w14:paraId="25AC3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D7E61FA">
            <w:pPr>
              <w:pStyle w:val="15"/>
            </w:pPr>
            <w:r>
              <w:rPr>
                <w:rFonts w:hint="eastAsia"/>
              </w:rPr>
              <w:t>1</w:t>
            </w:r>
          </w:p>
        </w:tc>
        <w:tc>
          <w:tcPr>
            <w:tcW w:w="2804" w:type="dxa"/>
            <w:tcBorders>
              <w:top w:val="single" w:color="auto" w:sz="4" w:space="0"/>
              <w:bottom w:val="single" w:color="auto" w:sz="4" w:space="0"/>
            </w:tcBorders>
            <w:shd w:val="clear" w:color="auto" w:fill="auto"/>
            <w:vAlign w:val="center"/>
          </w:tcPr>
          <w:p w14:paraId="54818EDB">
            <w:pPr>
              <w:pStyle w:val="15"/>
            </w:pPr>
            <w:r>
              <w:rPr>
                <w:rFonts w:hint="eastAsia"/>
              </w:rPr>
              <w:t>Basic Strategies of Debating</w:t>
            </w:r>
          </w:p>
          <w:p w14:paraId="09525C00">
            <w:pPr>
              <w:pStyle w:val="15"/>
            </w:pPr>
            <w:r>
              <w:rPr>
                <w:rFonts w:hint="eastAsia"/>
              </w:rPr>
              <w:t>基础技法训练</w:t>
            </w:r>
          </w:p>
        </w:tc>
        <w:tc>
          <w:tcPr>
            <w:tcW w:w="1980" w:type="dxa"/>
            <w:tcBorders>
              <w:top w:val="single" w:color="auto" w:sz="4" w:space="0"/>
              <w:bottom w:val="single" w:color="auto" w:sz="4" w:space="0"/>
            </w:tcBorders>
            <w:vAlign w:val="center"/>
          </w:tcPr>
          <w:p w14:paraId="37A029D1">
            <w:pPr>
              <w:pStyle w:val="15"/>
              <w:ind w:left="360"/>
              <w:jc w:val="left"/>
              <w:rPr>
                <w:szCs w:val="16"/>
              </w:rPr>
            </w:pPr>
            <w:r>
              <w:rPr>
                <w:rFonts w:hint="eastAsia"/>
                <w:szCs w:val="16"/>
              </w:rPr>
              <w:t>① 演示型</w:t>
            </w:r>
          </w:p>
        </w:tc>
        <w:tc>
          <w:tcPr>
            <w:tcW w:w="849" w:type="dxa"/>
            <w:tcBorders>
              <w:top w:val="single" w:color="auto" w:sz="4" w:space="0"/>
              <w:bottom w:val="single" w:color="auto" w:sz="4" w:space="0"/>
            </w:tcBorders>
            <w:shd w:val="clear" w:color="auto" w:fill="auto"/>
            <w:vAlign w:val="center"/>
          </w:tcPr>
          <w:p w14:paraId="16710B26">
            <w:pPr>
              <w:pStyle w:val="14"/>
              <w:rPr>
                <w:szCs w:val="16"/>
              </w:rPr>
            </w:pPr>
            <w:r>
              <w:rPr>
                <w:rFonts w:hint="eastAsia"/>
                <w:szCs w:val="16"/>
              </w:rPr>
              <w:t>0</w:t>
            </w:r>
          </w:p>
        </w:tc>
        <w:tc>
          <w:tcPr>
            <w:tcW w:w="848" w:type="dxa"/>
            <w:tcBorders>
              <w:top w:val="single" w:color="auto" w:sz="4" w:space="0"/>
              <w:bottom w:val="single" w:color="auto" w:sz="4" w:space="0"/>
            </w:tcBorders>
            <w:vAlign w:val="center"/>
          </w:tcPr>
          <w:p w14:paraId="09C56A94">
            <w:pPr>
              <w:pStyle w:val="15"/>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759664F6">
            <w:pPr>
              <w:pStyle w:val="15"/>
              <w:rPr>
                <w:rFonts w:ascii="Arial" w:hAnsi="Arial" w:eastAsia="黑体"/>
                <w:bCs/>
                <w:szCs w:val="16"/>
              </w:rPr>
            </w:pPr>
            <w:r>
              <w:rPr>
                <w:rFonts w:hint="eastAsia" w:ascii="Arial" w:hAnsi="Arial" w:eastAsia="黑体"/>
                <w:bCs/>
                <w:szCs w:val="16"/>
              </w:rPr>
              <w:t>6</w:t>
            </w:r>
          </w:p>
        </w:tc>
      </w:tr>
      <w:tr w14:paraId="6E0B4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9C2C21D">
            <w:pPr>
              <w:pStyle w:val="15"/>
            </w:pPr>
            <w:r>
              <w:t>2</w:t>
            </w:r>
          </w:p>
        </w:tc>
        <w:tc>
          <w:tcPr>
            <w:tcW w:w="2804" w:type="dxa"/>
            <w:tcBorders>
              <w:top w:val="single" w:color="auto" w:sz="4" w:space="0"/>
              <w:bottom w:val="single" w:color="auto" w:sz="4" w:space="0"/>
            </w:tcBorders>
            <w:shd w:val="clear" w:color="auto" w:fill="auto"/>
            <w:vAlign w:val="center"/>
          </w:tcPr>
          <w:p w14:paraId="1F9DB059">
            <w:pPr>
              <w:pStyle w:val="15"/>
            </w:pPr>
            <w:r>
              <w:rPr>
                <w:rFonts w:hint="eastAsia"/>
              </w:rPr>
              <w:t>Debating Research Sheet</w:t>
            </w:r>
          </w:p>
          <w:p w14:paraId="7F8309B0">
            <w:pPr>
              <w:pStyle w:val="15"/>
            </w:pPr>
            <w:r>
              <w:rPr>
                <w:rFonts w:hint="eastAsia"/>
              </w:rPr>
              <w:t>论据范例收集</w:t>
            </w:r>
          </w:p>
        </w:tc>
        <w:tc>
          <w:tcPr>
            <w:tcW w:w="1980" w:type="dxa"/>
            <w:tcBorders>
              <w:top w:val="single" w:color="auto" w:sz="4" w:space="0"/>
              <w:bottom w:val="single" w:color="auto" w:sz="4" w:space="0"/>
            </w:tcBorders>
            <w:vAlign w:val="center"/>
          </w:tcPr>
          <w:p w14:paraId="6117B074">
            <w:pPr>
              <w:pStyle w:val="15"/>
              <w:ind w:left="360"/>
              <w:jc w:val="left"/>
              <w:rPr>
                <w:szCs w:val="16"/>
              </w:rPr>
            </w:pPr>
            <w:r>
              <w:rPr>
                <w:rFonts w:hint="eastAsia"/>
                <w:szCs w:val="16"/>
              </w:rPr>
              <w:t>④ 综合型</w:t>
            </w:r>
          </w:p>
        </w:tc>
        <w:tc>
          <w:tcPr>
            <w:tcW w:w="849" w:type="dxa"/>
            <w:tcBorders>
              <w:top w:val="single" w:color="auto" w:sz="4" w:space="0"/>
              <w:bottom w:val="single" w:color="auto" w:sz="4" w:space="0"/>
            </w:tcBorders>
            <w:shd w:val="clear" w:color="auto" w:fill="auto"/>
            <w:vAlign w:val="center"/>
          </w:tcPr>
          <w:p w14:paraId="64D9345F">
            <w:pPr>
              <w:pStyle w:val="14"/>
              <w:rPr>
                <w:szCs w:val="16"/>
              </w:rPr>
            </w:pPr>
            <w:r>
              <w:rPr>
                <w:rFonts w:hint="eastAsia"/>
                <w:szCs w:val="16"/>
              </w:rPr>
              <w:t>0</w:t>
            </w:r>
          </w:p>
        </w:tc>
        <w:tc>
          <w:tcPr>
            <w:tcW w:w="848" w:type="dxa"/>
            <w:tcBorders>
              <w:top w:val="single" w:color="auto" w:sz="4" w:space="0"/>
              <w:bottom w:val="single" w:color="auto" w:sz="4" w:space="0"/>
            </w:tcBorders>
            <w:vAlign w:val="center"/>
          </w:tcPr>
          <w:p w14:paraId="7BBAFF5E">
            <w:pPr>
              <w:pStyle w:val="15"/>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4FE3B7B4">
            <w:pPr>
              <w:pStyle w:val="15"/>
              <w:rPr>
                <w:rFonts w:ascii="Arial" w:hAnsi="Arial" w:eastAsia="黑体"/>
                <w:bCs/>
                <w:szCs w:val="16"/>
              </w:rPr>
            </w:pPr>
            <w:r>
              <w:rPr>
                <w:rFonts w:hint="eastAsia" w:ascii="Arial" w:hAnsi="Arial" w:eastAsia="黑体"/>
                <w:bCs/>
                <w:szCs w:val="16"/>
              </w:rPr>
              <w:t>6</w:t>
            </w:r>
          </w:p>
        </w:tc>
      </w:tr>
      <w:tr w14:paraId="7B764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1944CD0">
            <w:pPr>
              <w:pStyle w:val="15"/>
            </w:pPr>
            <w:r>
              <w:t>3</w:t>
            </w:r>
          </w:p>
        </w:tc>
        <w:tc>
          <w:tcPr>
            <w:tcW w:w="2804" w:type="dxa"/>
            <w:tcBorders>
              <w:top w:val="single" w:color="auto" w:sz="4" w:space="0"/>
              <w:bottom w:val="single" w:color="auto" w:sz="4" w:space="0"/>
            </w:tcBorders>
            <w:shd w:val="clear" w:color="auto" w:fill="auto"/>
            <w:vAlign w:val="center"/>
          </w:tcPr>
          <w:p w14:paraId="7153AFC9">
            <w:pPr>
              <w:pStyle w:val="15"/>
            </w:pPr>
            <w:r>
              <w:rPr>
                <w:rFonts w:hint="eastAsia"/>
              </w:rPr>
              <w:t xml:space="preserve">CSE Debating Descriptors </w:t>
            </w:r>
          </w:p>
          <w:p w14:paraId="328BA543">
            <w:pPr>
              <w:pStyle w:val="15"/>
            </w:pPr>
            <w:r>
              <w:rPr>
                <w:rFonts w:hint="eastAsia"/>
              </w:rPr>
              <w:t>量表指标对标</w:t>
            </w:r>
          </w:p>
        </w:tc>
        <w:tc>
          <w:tcPr>
            <w:tcW w:w="1980" w:type="dxa"/>
            <w:tcBorders>
              <w:top w:val="single" w:color="auto" w:sz="4" w:space="0"/>
              <w:bottom w:val="single" w:color="auto" w:sz="4" w:space="0"/>
            </w:tcBorders>
            <w:vAlign w:val="center"/>
          </w:tcPr>
          <w:p w14:paraId="324FBCE7">
            <w:pPr>
              <w:pStyle w:val="15"/>
              <w:ind w:left="360"/>
              <w:jc w:val="left"/>
              <w:rPr>
                <w:szCs w:val="16"/>
              </w:rPr>
            </w:pPr>
            <w:r>
              <w:rPr>
                <w:rFonts w:hint="eastAsia"/>
                <w:szCs w:val="16"/>
              </w:rPr>
              <w:t>② 验证型</w:t>
            </w:r>
          </w:p>
        </w:tc>
        <w:tc>
          <w:tcPr>
            <w:tcW w:w="849" w:type="dxa"/>
            <w:tcBorders>
              <w:top w:val="single" w:color="auto" w:sz="4" w:space="0"/>
              <w:bottom w:val="single" w:color="auto" w:sz="4" w:space="0"/>
            </w:tcBorders>
            <w:shd w:val="clear" w:color="auto" w:fill="auto"/>
            <w:vAlign w:val="center"/>
          </w:tcPr>
          <w:p w14:paraId="380EC149">
            <w:pPr>
              <w:pStyle w:val="14"/>
              <w:rPr>
                <w:szCs w:val="16"/>
              </w:rPr>
            </w:pPr>
            <w:r>
              <w:rPr>
                <w:rFonts w:hint="eastAsia"/>
                <w:szCs w:val="16"/>
              </w:rPr>
              <w:t>0</w:t>
            </w:r>
          </w:p>
        </w:tc>
        <w:tc>
          <w:tcPr>
            <w:tcW w:w="848" w:type="dxa"/>
            <w:tcBorders>
              <w:top w:val="single" w:color="auto" w:sz="4" w:space="0"/>
              <w:bottom w:val="single" w:color="auto" w:sz="4" w:space="0"/>
            </w:tcBorders>
            <w:vAlign w:val="center"/>
          </w:tcPr>
          <w:p w14:paraId="2919DF6B">
            <w:pPr>
              <w:pStyle w:val="15"/>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609CD3CD">
            <w:pPr>
              <w:pStyle w:val="15"/>
              <w:rPr>
                <w:rFonts w:ascii="Arial" w:hAnsi="Arial" w:eastAsia="黑体"/>
                <w:bCs/>
                <w:szCs w:val="16"/>
              </w:rPr>
            </w:pPr>
            <w:r>
              <w:rPr>
                <w:rFonts w:hint="eastAsia" w:ascii="Arial" w:hAnsi="Arial" w:eastAsia="黑体"/>
                <w:bCs/>
                <w:szCs w:val="16"/>
              </w:rPr>
              <w:t>6</w:t>
            </w:r>
          </w:p>
        </w:tc>
      </w:tr>
      <w:tr w14:paraId="4AE0C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3A96AE8">
            <w:pPr>
              <w:pStyle w:val="15"/>
            </w:pPr>
            <w:r>
              <w:t>4</w:t>
            </w:r>
          </w:p>
        </w:tc>
        <w:tc>
          <w:tcPr>
            <w:tcW w:w="2804" w:type="dxa"/>
            <w:tcBorders>
              <w:top w:val="single" w:color="auto" w:sz="4" w:space="0"/>
              <w:bottom w:val="single" w:color="auto" w:sz="4" w:space="0"/>
            </w:tcBorders>
            <w:shd w:val="clear" w:color="auto" w:fill="auto"/>
            <w:vAlign w:val="center"/>
          </w:tcPr>
          <w:p w14:paraId="157707D9">
            <w:pPr>
              <w:pStyle w:val="15"/>
            </w:pPr>
            <w:r>
              <w:rPr>
                <w:rFonts w:hint="eastAsia"/>
              </w:rPr>
              <w:t>Opinionated Powerpoint Slides 幻灯观点论述</w:t>
            </w:r>
          </w:p>
        </w:tc>
        <w:tc>
          <w:tcPr>
            <w:tcW w:w="1980" w:type="dxa"/>
            <w:tcBorders>
              <w:top w:val="single" w:color="auto" w:sz="4" w:space="0"/>
              <w:bottom w:val="single" w:color="auto" w:sz="4" w:space="0"/>
            </w:tcBorders>
            <w:vAlign w:val="center"/>
          </w:tcPr>
          <w:p w14:paraId="1274C0D7">
            <w:pPr>
              <w:pStyle w:val="15"/>
              <w:ind w:left="360"/>
              <w:jc w:val="left"/>
              <w:rPr>
                <w:szCs w:val="16"/>
              </w:rPr>
            </w:pPr>
            <w:r>
              <w:rPr>
                <w:rFonts w:hint="eastAsia"/>
                <w:szCs w:val="16"/>
              </w:rPr>
              <w:t>③ 设计型</w:t>
            </w:r>
          </w:p>
        </w:tc>
        <w:tc>
          <w:tcPr>
            <w:tcW w:w="849" w:type="dxa"/>
            <w:tcBorders>
              <w:top w:val="single" w:color="auto" w:sz="4" w:space="0"/>
              <w:bottom w:val="single" w:color="auto" w:sz="4" w:space="0"/>
            </w:tcBorders>
            <w:shd w:val="clear" w:color="auto" w:fill="auto"/>
            <w:vAlign w:val="center"/>
          </w:tcPr>
          <w:p w14:paraId="2416A3A4">
            <w:pPr>
              <w:pStyle w:val="14"/>
              <w:rPr>
                <w:szCs w:val="16"/>
              </w:rPr>
            </w:pPr>
            <w:r>
              <w:rPr>
                <w:rFonts w:hint="eastAsia"/>
                <w:szCs w:val="16"/>
              </w:rPr>
              <w:t>0</w:t>
            </w:r>
          </w:p>
        </w:tc>
        <w:tc>
          <w:tcPr>
            <w:tcW w:w="848" w:type="dxa"/>
            <w:tcBorders>
              <w:top w:val="single" w:color="auto" w:sz="4" w:space="0"/>
              <w:bottom w:val="single" w:color="auto" w:sz="4" w:space="0"/>
            </w:tcBorders>
            <w:vAlign w:val="center"/>
          </w:tcPr>
          <w:p w14:paraId="13909283">
            <w:pPr>
              <w:pStyle w:val="15"/>
              <w:rPr>
                <w:rFonts w:ascii="Arial" w:hAnsi="Arial" w:eastAsia="黑体"/>
                <w:bCs/>
                <w:szCs w:val="16"/>
              </w:rPr>
            </w:pPr>
            <w:r>
              <w:rPr>
                <w:rFonts w:hint="eastAsia" w:ascii="Arial" w:hAnsi="Arial" w:eastAsia="黑体"/>
                <w:bCs/>
                <w:szCs w:val="16"/>
              </w:rPr>
              <w:t>6</w:t>
            </w:r>
          </w:p>
        </w:tc>
        <w:tc>
          <w:tcPr>
            <w:tcW w:w="786" w:type="dxa"/>
            <w:tcBorders>
              <w:top w:val="single" w:color="auto" w:sz="4" w:space="0"/>
              <w:bottom w:val="single" w:color="auto" w:sz="4" w:space="0"/>
            </w:tcBorders>
            <w:shd w:val="clear" w:color="auto" w:fill="auto"/>
            <w:vAlign w:val="center"/>
          </w:tcPr>
          <w:p w14:paraId="2C516D74">
            <w:pPr>
              <w:pStyle w:val="15"/>
              <w:rPr>
                <w:rFonts w:ascii="Arial" w:hAnsi="Arial" w:eastAsia="黑体"/>
                <w:bCs/>
                <w:szCs w:val="16"/>
              </w:rPr>
            </w:pPr>
            <w:r>
              <w:rPr>
                <w:rFonts w:ascii="Arial" w:hAnsi="Arial" w:eastAsia="黑体"/>
                <w:bCs/>
                <w:szCs w:val="16"/>
              </w:rPr>
              <w:t>6</w:t>
            </w:r>
          </w:p>
        </w:tc>
      </w:tr>
      <w:tr w14:paraId="32A03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C66293B">
            <w:pPr>
              <w:pStyle w:val="15"/>
            </w:pPr>
            <w:r>
              <w:rPr>
                <w:rFonts w:hint="eastAsia"/>
              </w:rPr>
              <w:t>5</w:t>
            </w:r>
          </w:p>
        </w:tc>
        <w:tc>
          <w:tcPr>
            <w:tcW w:w="2804" w:type="dxa"/>
            <w:tcBorders>
              <w:top w:val="single" w:color="auto" w:sz="4" w:space="0"/>
              <w:bottom w:val="single" w:color="auto" w:sz="4" w:space="0"/>
            </w:tcBorders>
            <w:shd w:val="clear" w:color="auto" w:fill="auto"/>
            <w:vAlign w:val="center"/>
          </w:tcPr>
          <w:p w14:paraId="664885DC">
            <w:pPr>
              <w:pStyle w:val="15"/>
            </w:pPr>
            <w:r>
              <w:rPr>
                <w:rFonts w:hint="eastAsia"/>
              </w:rPr>
              <w:t>Flow Sheet in Practice</w:t>
            </w:r>
          </w:p>
          <w:p w14:paraId="0744496D">
            <w:pPr>
              <w:pStyle w:val="15"/>
            </w:pPr>
            <w:r>
              <w:rPr>
                <w:rFonts w:hint="eastAsia"/>
              </w:rPr>
              <w:t>小组辩论展示</w:t>
            </w:r>
          </w:p>
        </w:tc>
        <w:tc>
          <w:tcPr>
            <w:tcW w:w="1980" w:type="dxa"/>
            <w:tcBorders>
              <w:top w:val="single" w:color="auto" w:sz="4" w:space="0"/>
              <w:bottom w:val="single" w:color="auto" w:sz="4" w:space="0"/>
            </w:tcBorders>
            <w:vAlign w:val="center"/>
          </w:tcPr>
          <w:p w14:paraId="61C1A1C7">
            <w:pPr>
              <w:pStyle w:val="15"/>
              <w:ind w:left="360"/>
              <w:jc w:val="left"/>
              <w:rPr>
                <w:szCs w:val="16"/>
              </w:rPr>
            </w:pPr>
            <w:r>
              <w:rPr>
                <w:rFonts w:hint="eastAsia"/>
                <w:szCs w:val="16"/>
              </w:rPr>
              <w:t>④ 综合型</w:t>
            </w:r>
          </w:p>
        </w:tc>
        <w:tc>
          <w:tcPr>
            <w:tcW w:w="849" w:type="dxa"/>
            <w:tcBorders>
              <w:top w:val="single" w:color="auto" w:sz="4" w:space="0"/>
              <w:bottom w:val="single" w:color="auto" w:sz="4" w:space="0"/>
            </w:tcBorders>
            <w:shd w:val="clear" w:color="auto" w:fill="auto"/>
            <w:vAlign w:val="center"/>
          </w:tcPr>
          <w:p w14:paraId="5C683E8F">
            <w:pPr>
              <w:pStyle w:val="14"/>
              <w:rPr>
                <w:szCs w:val="16"/>
              </w:rPr>
            </w:pPr>
            <w:r>
              <w:rPr>
                <w:rFonts w:hint="eastAsia"/>
                <w:szCs w:val="16"/>
              </w:rPr>
              <w:t>0</w:t>
            </w:r>
          </w:p>
        </w:tc>
        <w:tc>
          <w:tcPr>
            <w:tcW w:w="848" w:type="dxa"/>
            <w:tcBorders>
              <w:top w:val="single" w:color="auto" w:sz="4" w:space="0"/>
              <w:bottom w:val="single" w:color="auto" w:sz="4" w:space="0"/>
            </w:tcBorders>
            <w:vAlign w:val="center"/>
          </w:tcPr>
          <w:p w14:paraId="2634EA0A">
            <w:pPr>
              <w:pStyle w:val="15"/>
              <w:rPr>
                <w:rFonts w:ascii="Arial" w:hAnsi="Arial" w:eastAsia="黑体"/>
                <w:bCs/>
                <w:szCs w:val="16"/>
              </w:rPr>
            </w:pPr>
            <w:r>
              <w:rPr>
                <w:rFonts w:hint="eastAsia"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14:paraId="57033F4C">
            <w:pPr>
              <w:pStyle w:val="15"/>
              <w:rPr>
                <w:rFonts w:ascii="Arial" w:hAnsi="Arial" w:eastAsia="黑体"/>
                <w:bCs/>
                <w:szCs w:val="16"/>
              </w:rPr>
            </w:pPr>
            <w:r>
              <w:rPr>
                <w:rFonts w:hint="eastAsia" w:ascii="Arial" w:hAnsi="Arial" w:eastAsia="黑体"/>
                <w:bCs/>
                <w:szCs w:val="16"/>
              </w:rPr>
              <w:t>8</w:t>
            </w:r>
          </w:p>
        </w:tc>
      </w:tr>
      <w:tr w14:paraId="6159C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46DB2CFD">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4B4358BE">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0DC0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1B03B33">
            <w:pPr>
              <w:widowControl w:val="0"/>
              <w:spacing w:line="440" w:lineRule="exact"/>
              <w:jc w:val="both"/>
              <w:rPr>
                <w:rFonts w:cs="仿宋"/>
                <w:b/>
                <w:color w:val="000000"/>
                <w:sz w:val="21"/>
                <w:szCs w:val="21"/>
              </w:rPr>
            </w:pPr>
            <w:r>
              <w:rPr>
                <w:rFonts w:hint="eastAsia" w:cs="仿宋"/>
                <w:b/>
                <w:color w:val="000000"/>
                <w:sz w:val="21"/>
                <w:szCs w:val="21"/>
              </w:rPr>
              <w:t>实验1：</w:t>
            </w:r>
            <w:r>
              <w:rPr>
                <w:rFonts w:hint="eastAsia" w:cs="仿宋"/>
                <w:b/>
                <w:sz w:val="21"/>
                <w:szCs w:val="21"/>
              </w:rPr>
              <w:t>基础技法训练</w:t>
            </w:r>
          </w:p>
        </w:tc>
      </w:tr>
      <w:tr w14:paraId="0E295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4EB0A51">
            <w:pPr>
              <w:pStyle w:val="15"/>
              <w:widowControl w:val="0"/>
              <w:jc w:val="left"/>
              <w:rPr>
                <w:rFonts w:ascii="宋体" w:hAnsi="宋体"/>
                <w:b/>
              </w:rPr>
            </w:pPr>
            <w:r>
              <w:rPr>
                <w:rFonts w:hint="eastAsia" w:ascii="宋体" w:hAnsi="宋体"/>
                <w:b/>
              </w:rPr>
              <w:t>教学目标：</w:t>
            </w:r>
          </w:p>
          <w:p w14:paraId="27F7BF69">
            <w:pPr>
              <w:pStyle w:val="15"/>
              <w:widowControl w:val="0"/>
              <w:jc w:val="left"/>
              <w:rPr>
                <w:bCs/>
              </w:rPr>
            </w:pPr>
            <w:r>
              <w:rPr>
                <w:rFonts w:hint="eastAsia"/>
                <w:bCs/>
              </w:rPr>
              <w:t>课堂实践中，依据基本辩论句型为为蓝本，进行特定辩题的论据收集和口头展示，并进行小组生生互评。主要侧重学生对于辩论口头展示的基本思辨意识培养，和语法为基础的语句嵌套运用能力。</w:t>
            </w:r>
          </w:p>
          <w:p w14:paraId="6676EDE4">
            <w:pPr>
              <w:pStyle w:val="15"/>
              <w:widowControl w:val="0"/>
              <w:jc w:val="left"/>
              <w:rPr>
                <w:rFonts w:ascii="宋体" w:hAnsi="宋体"/>
                <w:b/>
              </w:rPr>
            </w:pPr>
            <w:r>
              <w:rPr>
                <w:rFonts w:hint="eastAsia" w:ascii="宋体" w:hAnsi="宋体"/>
                <w:b/>
              </w:rPr>
              <w:t>教学内容：</w:t>
            </w:r>
          </w:p>
          <w:p w14:paraId="7B91405B">
            <w:pPr>
              <w:pStyle w:val="15"/>
              <w:widowControl w:val="0"/>
              <w:jc w:val="left"/>
              <w:rPr>
                <w:rFonts w:ascii="宋体" w:hAnsi="宋体"/>
                <w:bCs/>
              </w:rPr>
            </w:pPr>
            <w:r>
              <w:rPr>
                <w:rFonts w:hint="eastAsia" w:ascii="宋体" w:hAnsi="宋体"/>
                <w:bCs/>
              </w:rPr>
              <w:t>U</w:t>
            </w:r>
            <w:r>
              <w:rPr>
                <w:rFonts w:ascii="宋体" w:hAnsi="宋体"/>
                <w:bCs/>
              </w:rPr>
              <w:t>1-U</w:t>
            </w:r>
            <w:r>
              <w:rPr>
                <w:rFonts w:hint="eastAsia" w:ascii="宋体" w:hAnsi="宋体"/>
                <w:bCs/>
              </w:rPr>
              <w:t>13</w:t>
            </w:r>
            <w:r>
              <w:rPr>
                <w:rFonts w:ascii="宋体" w:hAnsi="宋体"/>
                <w:bCs/>
              </w:rPr>
              <w:t xml:space="preserve"> </w:t>
            </w:r>
            <w:r>
              <w:rPr>
                <w:rFonts w:hint="eastAsia" w:ascii="宋体" w:hAnsi="宋体"/>
                <w:bCs/>
              </w:rPr>
              <w:t>课内篇章论题实践</w:t>
            </w:r>
          </w:p>
          <w:p w14:paraId="0E5EDEEB">
            <w:pPr>
              <w:pStyle w:val="15"/>
              <w:widowControl w:val="0"/>
              <w:jc w:val="left"/>
              <w:rPr>
                <w:rFonts w:ascii="宋体" w:hAnsi="宋体"/>
                <w:b/>
              </w:rPr>
            </w:pPr>
            <w:r>
              <w:rPr>
                <w:rFonts w:hint="eastAsia" w:ascii="宋体" w:hAnsi="宋体"/>
                <w:b/>
              </w:rPr>
              <w:t>教学要求：</w:t>
            </w:r>
          </w:p>
          <w:p w14:paraId="689A9A96">
            <w:pPr>
              <w:pStyle w:val="15"/>
              <w:widowControl w:val="0"/>
              <w:jc w:val="left"/>
              <w:rPr>
                <w:rFonts w:ascii="宋体" w:hAnsi="宋体"/>
                <w:bCs/>
              </w:rPr>
            </w:pPr>
            <w:r>
              <w:rPr>
                <w:rFonts w:ascii="宋体" w:hAnsi="宋体"/>
                <w:bCs/>
              </w:rPr>
              <w:t>能在技法训练过程中甄选收集论题相关资料信息，能注意语法问题，以及口头展示的基本评价点，如</w:t>
            </w:r>
            <w:r>
              <w:rPr>
                <w:rFonts w:hint="eastAsia" w:ascii="宋体" w:hAnsi="宋体"/>
                <w:bCs/>
              </w:rPr>
              <w:t>:意群停顿恰当，语音、语调正确；表述流利，基本没有重复、自我更正；内容完整等。</w:t>
            </w:r>
          </w:p>
        </w:tc>
      </w:tr>
      <w:tr w14:paraId="5DF75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2C9420A">
            <w:pPr>
              <w:widowControl w:val="0"/>
              <w:spacing w:line="440" w:lineRule="exact"/>
              <w:jc w:val="both"/>
              <w:rPr>
                <w:rFonts w:cs="仿宋"/>
                <w:b/>
                <w:color w:val="000000"/>
                <w:sz w:val="21"/>
                <w:szCs w:val="21"/>
              </w:rPr>
            </w:pPr>
            <w:r>
              <w:rPr>
                <w:rFonts w:hint="eastAsia" w:cs="仿宋"/>
                <w:b/>
                <w:color w:val="000000"/>
                <w:sz w:val="21"/>
                <w:szCs w:val="21"/>
              </w:rPr>
              <w:t>实验2：</w:t>
            </w:r>
            <w:r>
              <w:rPr>
                <w:rFonts w:hint="eastAsia" w:cs="仿宋"/>
                <w:b/>
                <w:sz w:val="21"/>
                <w:szCs w:val="21"/>
              </w:rPr>
              <w:t>论据范例收集</w:t>
            </w:r>
          </w:p>
        </w:tc>
      </w:tr>
      <w:tr w14:paraId="0374C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4193CD3">
            <w:pPr>
              <w:pStyle w:val="15"/>
              <w:widowControl w:val="0"/>
              <w:jc w:val="left"/>
              <w:rPr>
                <w:rFonts w:ascii="宋体" w:hAnsi="宋体"/>
                <w:b/>
              </w:rPr>
            </w:pPr>
            <w:r>
              <w:rPr>
                <w:rFonts w:hint="eastAsia" w:ascii="宋体" w:hAnsi="宋体"/>
                <w:b/>
              </w:rPr>
              <w:t>教学目标：</w:t>
            </w:r>
          </w:p>
          <w:p w14:paraId="073F63BE">
            <w:pPr>
              <w:widowControl w:val="0"/>
              <w:jc w:val="both"/>
              <w:rPr>
                <w:bCs/>
                <w:sz w:val="21"/>
                <w:szCs w:val="21"/>
              </w:rPr>
            </w:pPr>
            <w:r>
              <w:rPr>
                <w:rFonts w:hint="eastAsia"/>
                <w:bCs/>
                <w:sz w:val="21"/>
                <w:szCs w:val="21"/>
              </w:rPr>
              <w:t>课堂实践中，填写《</w:t>
            </w:r>
            <w:r>
              <w:rPr>
                <w:bCs/>
                <w:sz w:val="21"/>
                <w:szCs w:val="21"/>
              </w:rPr>
              <w:t>辩据调查研究梳理表》英文版，内容包括：</w:t>
            </w:r>
            <w:r>
              <w:rPr>
                <w:rFonts w:hint="eastAsia"/>
                <w:bCs/>
                <w:sz w:val="21"/>
                <w:szCs w:val="21"/>
              </w:rPr>
              <w:t>辩题展示、开场白、你方论点、论据出处、反驳论据准备。所有表格内容须手写完成，使用书面语英语，非口语，并在组内进行内容审定和修正，保证组内基本辩论思路的一致性。</w:t>
            </w:r>
          </w:p>
          <w:p w14:paraId="25E21185">
            <w:pPr>
              <w:pStyle w:val="15"/>
              <w:widowControl w:val="0"/>
              <w:jc w:val="left"/>
              <w:rPr>
                <w:rFonts w:ascii="宋体" w:hAnsi="宋体"/>
                <w:b/>
              </w:rPr>
            </w:pPr>
            <w:r>
              <w:rPr>
                <w:rFonts w:hint="eastAsia" w:ascii="宋体" w:hAnsi="宋体"/>
                <w:b/>
              </w:rPr>
              <w:t>教学内容：</w:t>
            </w:r>
          </w:p>
          <w:p w14:paraId="6CC6D635">
            <w:pPr>
              <w:pStyle w:val="15"/>
              <w:widowControl w:val="0"/>
              <w:jc w:val="left"/>
              <w:rPr>
                <w:rFonts w:ascii="宋体" w:hAnsi="宋体"/>
                <w:bCs/>
              </w:rPr>
            </w:pPr>
            <w:r>
              <w:rPr>
                <w:rFonts w:hint="eastAsia" w:ascii="宋体" w:hAnsi="宋体"/>
                <w:bCs/>
              </w:rPr>
              <w:t>U</w:t>
            </w:r>
            <w:r>
              <w:rPr>
                <w:rFonts w:ascii="宋体" w:hAnsi="宋体"/>
                <w:bCs/>
              </w:rPr>
              <w:t>1-U</w:t>
            </w:r>
            <w:r>
              <w:rPr>
                <w:rFonts w:hint="eastAsia" w:ascii="宋体" w:hAnsi="宋体"/>
                <w:bCs/>
              </w:rPr>
              <w:t>13</w:t>
            </w:r>
            <w:r>
              <w:rPr>
                <w:rFonts w:ascii="宋体" w:hAnsi="宋体"/>
                <w:bCs/>
              </w:rPr>
              <w:t xml:space="preserve"> </w:t>
            </w:r>
            <w:r>
              <w:rPr>
                <w:rFonts w:hint="eastAsia" w:ascii="宋体" w:hAnsi="宋体"/>
                <w:bCs/>
              </w:rPr>
              <w:t>课内篇章论题实践</w:t>
            </w:r>
          </w:p>
          <w:p w14:paraId="2314A69E">
            <w:pPr>
              <w:pStyle w:val="15"/>
              <w:widowControl w:val="0"/>
              <w:jc w:val="left"/>
              <w:rPr>
                <w:rFonts w:ascii="宋体" w:hAnsi="宋体"/>
                <w:b/>
              </w:rPr>
            </w:pPr>
            <w:r>
              <w:rPr>
                <w:rFonts w:hint="eastAsia" w:ascii="宋体" w:hAnsi="宋体"/>
                <w:b/>
              </w:rPr>
              <w:t>教学要求：</w:t>
            </w:r>
          </w:p>
          <w:p w14:paraId="6A48BC82">
            <w:pPr>
              <w:pStyle w:val="15"/>
              <w:widowControl w:val="0"/>
              <w:jc w:val="left"/>
              <w:rPr>
                <w:rFonts w:ascii="宋体" w:hAnsi="宋体"/>
                <w:bCs/>
              </w:rPr>
            </w:pPr>
            <w:r>
              <w:t>能串联口语稿来陈述辩手的开场白</w:t>
            </w:r>
            <w:r>
              <w:rPr>
                <w:rFonts w:hint="eastAsia"/>
              </w:rPr>
              <w:t>；</w:t>
            </w:r>
            <w:r>
              <w:rPr>
                <w:color w:val="202020"/>
              </w:rPr>
              <w:t>能用完整书面语句来凝练地展示动议和分论点；并</w:t>
            </w:r>
            <w:r>
              <w:t>参考《国家标准----信息与文献参考资料著录规则》内的通用格式，来填写论据参考资料出处；能撰写论据，并预盼对方辩手对此的反驳，写出可能的反驳和驳斥回复。</w:t>
            </w:r>
          </w:p>
        </w:tc>
      </w:tr>
      <w:tr w14:paraId="2D18A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13082DA">
            <w:pPr>
              <w:widowControl w:val="0"/>
              <w:spacing w:line="440" w:lineRule="exact"/>
              <w:jc w:val="both"/>
              <w:rPr>
                <w:bCs/>
                <w:sz w:val="21"/>
                <w:szCs w:val="21"/>
              </w:rPr>
            </w:pPr>
            <w:r>
              <w:rPr>
                <w:rFonts w:hint="eastAsia" w:cs="仿宋"/>
                <w:b/>
                <w:color w:val="000000"/>
                <w:sz w:val="21"/>
                <w:szCs w:val="21"/>
              </w:rPr>
              <w:t>实验3</w:t>
            </w:r>
            <w:r>
              <w:rPr>
                <w:rFonts w:cs="仿宋"/>
                <w:b/>
                <w:color w:val="000000"/>
                <w:sz w:val="21"/>
                <w:szCs w:val="21"/>
              </w:rPr>
              <w:t>：</w:t>
            </w:r>
            <w:r>
              <w:rPr>
                <w:rFonts w:hint="eastAsia" w:cs="仿宋"/>
                <w:b/>
                <w:color w:val="000000"/>
                <w:sz w:val="21"/>
                <w:szCs w:val="21"/>
              </w:rPr>
              <w:t>量表指标对标</w:t>
            </w:r>
          </w:p>
        </w:tc>
      </w:tr>
      <w:tr w14:paraId="227FB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66050BB">
            <w:pPr>
              <w:pStyle w:val="15"/>
              <w:widowControl w:val="0"/>
              <w:jc w:val="left"/>
              <w:rPr>
                <w:rFonts w:ascii="宋体" w:hAnsi="宋体"/>
                <w:b/>
              </w:rPr>
            </w:pPr>
            <w:r>
              <w:rPr>
                <w:rFonts w:hint="eastAsia" w:ascii="宋体" w:hAnsi="宋体"/>
                <w:b/>
              </w:rPr>
              <w:t>教学目标：</w:t>
            </w:r>
          </w:p>
          <w:p w14:paraId="5805EB5A">
            <w:pPr>
              <w:pStyle w:val="15"/>
              <w:widowControl w:val="0"/>
              <w:jc w:val="left"/>
              <w:rPr>
                <w:rFonts w:ascii="宋体" w:hAnsi="宋体"/>
                <w:bCs/>
              </w:rPr>
            </w:pPr>
            <w:r>
              <w:rPr>
                <w:rFonts w:hint="eastAsia"/>
              </w:rPr>
              <w:t>能对标</w:t>
            </w:r>
            <w:r>
              <w:rPr>
                <w:rFonts w:hint="eastAsia" w:ascii="宋体" w:hAnsi="宋体"/>
                <w:bCs/>
              </w:rPr>
              <w:t>《中国英语等级量表（英文版）》对于辩论、思辨、分辨阐释能力等课程相关教学能力点的特征描述，分析课程特定辩题中所需要运用的基本能力。除了主要的辩论相关对标能力外，考查学生的资料速览寻读能力、英语手写体工整度、笔记内容分类能力和笔录排版能力等。</w:t>
            </w:r>
          </w:p>
          <w:p w14:paraId="7622B83B">
            <w:pPr>
              <w:pStyle w:val="15"/>
              <w:widowControl w:val="0"/>
              <w:jc w:val="left"/>
              <w:rPr>
                <w:rFonts w:ascii="宋体" w:hAnsi="宋体"/>
                <w:b/>
              </w:rPr>
            </w:pPr>
            <w:r>
              <w:rPr>
                <w:rFonts w:hint="eastAsia" w:ascii="宋体" w:hAnsi="宋体"/>
                <w:b/>
              </w:rPr>
              <w:t>教学内容：</w:t>
            </w:r>
          </w:p>
          <w:p w14:paraId="2D0295CA">
            <w:pPr>
              <w:pStyle w:val="15"/>
              <w:widowControl w:val="0"/>
              <w:jc w:val="left"/>
              <w:rPr>
                <w:rFonts w:ascii="宋体" w:hAnsi="宋体"/>
                <w:bCs/>
              </w:rPr>
            </w:pPr>
            <w:r>
              <w:rPr>
                <w:rFonts w:hint="eastAsia" w:ascii="宋体" w:hAnsi="宋体"/>
                <w:bCs/>
              </w:rPr>
              <w:t>U</w:t>
            </w:r>
            <w:r>
              <w:rPr>
                <w:rFonts w:ascii="宋体" w:hAnsi="宋体"/>
                <w:bCs/>
              </w:rPr>
              <w:t>1-U</w:t>
            </w:r>
            <w:r>
              <w:rPr>
                <w:rFonts w:hint="eastAsia" w:ascii="宋体" w:hAnsi="宋体"/>
                <w:bCs/>
              </w:rPr>
              <w:t>13</w:t>
            </w:r>
            <w:r>
              <w:rPr>
                <w:rFonts w:ascii="宋体" w:hAnsi="宋体"/>
                <w:bCs/>
              </w:rPr>
              <w:t xml:space="preserve"> </w:t>
            </w:r>
            <w:r>
              <w:rPr>
                <w:rFonts w:hint="eastAsia" w:ascii="宋体" w:hAnsi="宋体"/>
                <w:bCs/>
              </w:rPr>
              <w:t>课内篇章论题实践</w:t>
            </w:r>
          </w:p>
          <w:p w14:paraId="57391EA7">
            <w:pPr>
              <w:pStyle w:val="15"/>
              <w:widowControl w:val="0"/>
              <w:jc w:val="left"/>
              <w:rPr>
                <w:rFonts w:ascii="宋体" w:hAnsi="宋体"/>
                <w:b/>
              </w:rPr>
            </w:pPr>
            <w:r>
              <w:rPr>
                <w:rFonts w:hint="eastAsia" w:ascii="宋体" w:hAnsi="宋体"/>
                <w:b/>
              </w:rPr>
              <w:t>教学要求：</w:t>
            </w:r>
          </w:p>
          <w:p w14:paraId="4559D651">
            <w:pPr>
              <w:pStyle w:val="15"/>
              <w:widowControl w:val="0"/>
              <w:jc w:val="left"/>
              <w:rPr>
                <w:rFonts w:ascii="宋体" w:hAnsi="宋体"/>
                <w:bCs/>
              </w:rPr>
            </w:pPr>
            <w:r>
              <w:rPr>
                <w:rFonts w:hint="eastAsia" w:ascii="宋体" w:hAnsi="宋体"/>
                <w:bCs/>
              </w:rPr>
              <w:t>根据每章节辩题，对标《中国英语等级量表（英文版）》中的辩论</w:t>
            </w:r>
            <w:r>
              <w:rPr>
                <w:rFonts w:ascii="宋体" w:hAnsi="宋体"/>
                <w:bCs/>
              </w:rPr>
              <w:t>能力表现特征语句，进行整理标注。拍照上传稿纸。表述语句范围包括</w:t>
            </w:r>
            <w:r>
              <w:rPr>
                <w:rFonts w:hint="eastAsia" w:ascii="宋体" w:hAnsi="宋体"/>
                <w:bCs/>
              </w:rPr>
              <w:t>：表</w:t>
            </w:r>
            <w:r>
              <w:rPr>
                <w:rFonts w:ascii="宋体" w:hAnsi="宋体"/>
                <w:bCs/>
              </w:rPr>
              <w:t>3、表22、表29、表36、表37、表39、表40、表46、表48、表57、表80。</w:t>
            </w:r>
          </w:p>
        </w:tc>
      </w:tr>
      <w:tr w14:paraId="410FC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9E6A9E0">
            <w:pPr>
              <w:pStyle w:val="15"/>
              <w:widowControl w:val="0"/>
              <w:jc w:val="left"/>
              <w:rPr>
                <w:rFonts w:ascii="宋体" w:hAnsi="宋体"/>
                <w:bCs/>
              </w:rPr>
            </w:pPr>
            <w:r>
              <w:rPr>
                <w:rFonts w:hint="eastAsia" w:ascii="宋体" w:hAnsi="宋体" w:cs="仿宋"/>
                <w:b/>
              </w:rPr>
              <w:t>实验4</w:t>
            </w:r>
            <w:r>
              <w:rPr>
                <w:rFonts w:ascii="宋体" w:hAnsi="宋体" w:cs="仿宋"/>
                <w:b/>
              </w:rPr>
              <w:t>：</w:t>
            </w:r>
            <w:r>
              <w:rPr>
                <w:rFonts w:hint="eastAsia" w:ascii="宋体" w:hAnsi="宋体" w:cs="仿宋"/>
                <w:b/>
              </w:rPr>
              <w:t>幻灯观点论述</w:t>
            </w:r>
          </w:p>
        </w:tc>
      </w:tr>
      <w:tr w14:paraId="20657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54F2FB1">
            <w:pPr>
              <w:pStyle w:val="15"/>
              <w:widowControl w:val="0"/>
              <w:jc w:val="left"/>
              <w:rPr>
                <w:rFonts w:ascii="宋体" w:hAnsi="宋体"/>
                <w:b/>
              </w:rPr>
            </w:pPr>
            <w:r>
              <w:rPr>
                <w:rFonts w:hint="eastAsia" w:ascii="宋体" w:hAnsi="宋体"/>
                <w:b/>
              </w:rPr>
              <w:t>教学目标：</w:t>
            </w:r>
          </w:p>
          <w:p w14:paraId="19E5589E">
            <w:pPr>
              <w:pStyle w:val="15"/>
              <w:widowControl w:val="0"/>
              <w:jc w:val="left"/>
              <w:rPr>
                <w:rFonts w:ascii="宋体" w:hAnsi="宋体"/>
                <w:bCs/>
              </w:rPr>
            </w:pPr>
            <w:r>
              <w:rPr>
                <w:rFonts w:hint="eastAsia" w:ascii="宋体" w:hAnsi="宋体"/>
                <w:bCs/>
              </w:rPr>
              <w:t>使用幻灯片，展示小组和个人对于辩题的准备情况。并关注如下几点：幻灯展示中的出处注释、大纲格式、难词释义附注和社会性评价内容的结合。</w:t>
            </w:r>
            <w:r>
              <w:rPr>
                <w:rFonts w:ascii="宋体" w:hAnsi="宋体"/>
                <w:bCs/>
              </w:rPr>
              <w:t>主要考察学生的团队协作、辩论语言组织和信息甄选、格式排版、书面语和口语表达转换等能力。</w:t>
            </w:r>
          </w:p>
          <w:p w14:paraId="0E856B89">
            <w:pPr>
              <w:pStyle w:val="15"/>
              <w:widowControl w:val="0"/>
              <w:jc w:val="left"/>
              <w:rPr>
                <w:rFonts w:ascii="宋体" w:hAnsi="宋体"/>
                <w:b/>
              </w:rPr>
            </w:pPr>
            <w:r>
              <w:rPr>
                <w:rFonts w:hint="eastAsia" w:ascii="宋体" w:hAnsi="宋体"/>
                <w:b/>
              </w:rPr>
              <w:t>教学内容：</w:t>
            </w:r>
          </w:p>
          <w:p w14:paraId="2F7B1AD9">
            <w:pPr>
              <w:pStyle w:val="15"/>
              <w:widowControl w:val="0"/>
              <w:jc w:val="left"/>
              <w:rPr>
                <w:rFonts w:ascii="宋体" w:hAnsi="宋体"/>
                <w:bCs/>
              </w:rPr>
            </w:pPr>
            <w:r>
              <w:rPr>
                <w:rFonts w:hint="eastAsia" w:ascii="宋体" w:hAnsi="宋体"/>
                <w:bCs/>
              </w:rPr>
              <w:t>U</w:t>
            </w:r>
            <w:r>
              <w:rPr>
                <w:rFonts w:ascii="宋体" w:hAnsi="宋体"/>
                <w:bCs/>
              </w:rPr>
              <w:t>1-U</w:t>
            </w:r>
            <w:r>
              <w:rPr>
                <w:rFonts w:hint="eastAsia" w:ascii="宋体" w:hAnsi="宋体"/>
                <w:bCs/>
              </w:rPr>
              <w:t>13</w:t>
            </w:r>
            <w:r>
              <w:rPr>
                <w:rFonts w:ascii="宋体" w:hAnsi="宋体"/>
                <w:bCs/>
              </w:rPr>
              <w:t xml:space="preserve"> </w:t>
            </w:r>
            <w:r>
              <w:rPr>
                <w:rFonts w:hint="eastAsia" w:ascii="宋体" w:hAnsi="宋体"/>
                <w:bCs/>
              </w:rPr>
              <w:t>课内篇章论题实践</w:t>
            </w:r>
          </w:p>
          <w:p w14:paraId="20C1B387">
            <w:pPr>
              <w:pStyle w:val="15"/>
              <w:widowControl w:val="0"/>
              <w:jc w:val="left"/>
              <w:rPr>
                <w:rFonts w:ascii="宋体" w:hAnsi="宋体"/>
                <w:b/>
              </w:rPr>
            </w:pPr>
            <w:r>
              <w:rPr>
                <w:rFonts w:hint="eastAsia" w:ascii="宋体" w:hAnsi="宋体"/>
                <w:b/>
              </w:rPr>
              <w:t>教学要求：</w:t>
            </w:r>
          </w:p>
          <w:p w14:paraId="4210FA77">
            <w:pPr>
              <w:pStyle w:val="15"/>
              <w:widowControl w:val="0"/>
              <w:jc w:val="left"/>
              <w:rPr>
                <w:rFonts w:ascii="宋体" w:hAnsi="宋体"/>
                <w:bCs/>
              </w:rPr>
            </w:pPr>
            <w:r>
              <w:rPr>
                <w:rFonts w:ascii="宋体" w:hAnsi="宋体"/>
                <w:bCs/>
              </w:rPr>
              <w:t>要求学生能将辩论思路和支撑观点进行幻灯片展示。其中，特别要求幻灯片中所使用的图片、视频、音频或文字等信息进行版权标注，注释其具体出处，并标注难词释义；要求学生能将幻灯片大纲版式呈现出来，本注意分项标题首字母大写，每行对齐，且无中文内容，并注意段落段首空四格等格式问题；具体新闻等时效性信息出处，需要备注发布时间；规避幻灯片中拼写错误，如Contents打为Content, Contest等。</w:t>
            </w:r>
          </w:p>
        </w:tc>
      </w:tr>
      <w:tr w14:paraId="529D9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FCAD015">
            <w:pPr>
              <w:pStyle w:val="15"/>
              <w:widowControl w:val="0"/>
              <w:jc w:val="left"/>
              <w:rPr>
                <w:rFonts w:ascii="宋体" w:hAnsi="宋体"/>
                <w:bCs/>
              </w:rPr>
            </w:pPr>
            <w:r>
              <w:rPr>
                <w:rFonts w:hint="eastAsia" w:ascii="宋体" w:hAnsi="宋体" w:cs="仿宋"/>
                <w:b/>
              </w:rPr>
              <w:t>实验5</w:t>
            </w:r>
            <w:r>
              <w:rPr>
                <w:rFonts w:ascii="宋体" w:hAnsi="宋体" w:cs="仿宋"/>
                <w:b/>
              </w:rPr>
              <w:t>：</w:t>
            </w:r>
            <w:r>
              <w:rPr>
                <w:rFonts w:hint="eastAsia" w:ascii="宋体" w:hAnsi="宋体" w:cs="仿宋"/>
                <w:b/>
              </w:rPr>
              <w:t>小组辩论展示</w:t>
            </w:r>
          </w:p>
        </w:tc>
      </w:tr>
      <w:tr w14:paraId="7A068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38CC9CA">
            <w:pPr>
              <w:pStyle w:val="15"/>
              <w:widowControl w:val="0"/>
              <w:jc w:val="left"/>
              <w:rPr>
                <w:rFonts w:ascii="宋体" w:hAnsi="宋体"/>
                <w:b/>
              </w:rPr>
            </w:pPr>
            <w:r>
              <w:rPr>
                <w:rFonts w:hint="eastAsia" w:ascii="宋体" w:hAnsi="宋体"/>
                <w:b/>
              </w:rPr>
              <w:t>教学目标：</w:t>
            </w:r>
          </w:p>
          <w:p w14:paraId="4B25ECB3">
            <w:pPr>
              <w:pStyle w:val="15"/>
              <w:widowControl w:val="0"/>
              <w:jc w:val="left"/>
              <w:rPr>
                <w:rFonts w:ascii="宋体" w:hAnsi="宋体"/>
                <w:b/>
              </w:rPr>
            </w:pPr>
            <w:r>
              <w:rPr>
                <w:rFonts w:hint="eastAsia"/>
              </w:rPr>
              <w:t>本次考试共设八个辩论选题，八人一组，正方四人，反方四人，每组</w:t>
            </w:r>
            <w:r>
              <w:rPr>
                <w:rFonts w:hint="eastAsia"/>
                <w:b/>
              </w:rPr>
              <w:t>抽选</w:t>
            </w:r>
            <w:r>
              <w:rPr>
                <w:rFonts w:hint="eastAsia"/>
              </w:rPr>
              <w:t>一个选题进行辩论，论证充分，辩驳有力，有团队意识。</w:t>
            </w:r>
          </w:p>
          <w:p w14:paraId="08F67037">
            <w:pPr>
              <w:pStyle w:val="15"/>
              <w:widowControl w:val="0"/>
              <w:jc w:val="left"/>
              <w:rPr>
                <w:rFonts w:ascii="宋体" w:hAnsi="宋体"/>
                <w:b/>
              </w:rPr>
            </w:pPr>
            <w:r>
              <w:rPr>
                <w:rFonts w:hint="eastAsia" w:ascii="宋体" w:hAnsi="宋体"/>
                <w:b/>
              </w:rPr>
              <w:t>教学内容：</w:t>
            </w:r>
          </w:p>
          <w:p w14:paraId="713B91A5">
            <w:pPr>
              <w:pStyle w:val="15"/>
              <w:widowControl w:val="0"/>
              <w:jc w:val="left"/>
              <w:rPr>
                <w:rFonts w:ascii="宋体" w:hAnsi="宋体"/>
                <w:bCs/>
              </w:rPr>
            </w:pPr>
            <w:r>
              <w:rPr>
                <w:rFonts w:hint="eastAsia" w:ascii="宋体" w:hAnsi="宋体"/>
                <w:bCs/>
              </w:rPr>
              <w:t>U</w:t>
            </w:r>
            <w:r>
              <w:rPr>
                <w:rFonts w:ascii="宋体" w:hAnsi="宋体"/>
                <w:bCs/>
              </w:rPr>
              <w:t>1-U</w:t>
            </w:r>
            <w:r>
              <w:rPr>
                <w:rFonts w:hint="eastAsia" w:ascii="宋体" w:hAnsi="宋体"/>
                <w:bCs/>
              </w:rPr>
              <w:t>13</w:t>
            </w:r>
            <w:r>
              <w:rPr>
                <w:rFonts w:ascii="宋体" w:hAnsi="宋体"/>
                <w:bCs/>
              </w:rPr>
              <w:t xml:space="preserve"> </w:t>
            </w:r>
            <w:r>
              <w:rPr>
                <w:rFonts w:hint="eastAsia" w:ascii="宋体" w:hAnsi="宋体"/>
                <w:bCs/>
              </w:rPr>
              <w:t>课内篇章论题实践</w:t>
            </w:r>
          </w:p>
          <w:p w14:paraId="154F5277">
            <w:pPr>
              <w:pStyle w:val="15"/>
              <w:widowControl w:val="0"/>
              <w:jc w:val="left"/>
              <w:rPr>
                <w:rFonts w:ascii="宋体" w:hAnsi="宋体"/>
                <w:b/>
              </w:rPr>
            </w:pPr>
            <w:r>
              <w:rPr>
                <w:rFonts w:hint="eastAsia" w:ascii="宋体" w:hAnsi="宋体"/>
                <w:b/>
              </w:rPr>
              <w:t>教学要求：</w:t>
            </w:r>
          </w:p>
          <w:p w14:paraId="1F1B6BE2">
            <w:pPr>
              <w:pStyle w:val="15"/>
              <w:widowControl w:val="0"/>
              <w:jc w:val="both"/>
              <w:rPr>
                <w:rFonts w:ascii="宋体" w:hAnsi="宋体"/>
                <w:bCs/>
              </w:rPr>
            </w:pPr>
            <w:r>
              <w:rPr>
                <w:rFonts w:ascii="宋体" w:hAnsi="宋体"/>
                <w:bCs/>
              </w:rPr>
              <w:t>辩论前期工作中，每组围绕所选辩题的辩论切入点，阅读相关中英文文献，进行讨论，撰写辩词英文讲稿素材一份（按照小组为单位）。在现场辩论环节，正方同学和反方进行多话轮现场辩论，全程英文表述，契合《英语辩论期末考核能力指标点》进行考核。在大多数部分脱稿陈述的情况下，当堂对论题进行辩解，交替协作完成辩论环节。</w:t>
            </w:r>
          </w:p>
        </w:tc>
      </w:tr>
    </w:tbl>
    <w:p w14:paraId="68CE193F">
      <w:pPr>
        <w:pStyle w:val="18"/>
        <w:spacing w:before="163" w:after="163"/>
      </w:pPr>
      <w:r>
        <w:rPr>
          <w:rFonts w:hint="eastAsia"/>
        </w:rPr>
        <w:t>（三）各实验项目对课程目标的支撑关系</w:t>
      </w:r>
    </w:p>
    <w:tbl>
      <w:tblPr>
        <w:tblStyle w:val="8"/>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06"/>
        <w:gridCol w:w="979"/>
        <w:gridCol w:w="979"/>
        <w:gridCol w:w="979"/>
        <w:gridCol w:w="979"/>
        <w:gridCol w:w="1439"/>
      </w:tblGrid>
      <w:tr w14:paraId="6B6E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836" w:type="dxa"/>
            <w:tcBorders>
              <w:top w:val="single" w:color="auto" w:sz="12" w:space="0"/>
              <w:left w:val="single" w:color="auto" w:sz="12" w:space="0"/>
              <w:tl2br w:val="single" w:color="auto" w:sz="4" w:space="0"/>
            </w:tcBorders>
          </w:tcPr>
          <w:p w14:paraId="45AB8557">
            <w:pPr>
              <w:pStyle w:val="14"/>
              <w:ind w:firstLine="489"/>
              <w:jc w:val="right"/>
              <w:rPr>
                <w:szCs w:val="16"/>
              </w:rPr>
            </w:pPr>
            <w:r>
              <w:rPr>
                <w:rFonts w:hint="eastAsia"/>
                <w:szCs w:val="16"/>
              </w:rPr>
              <w:t>课程目标</w:t>
            </w:r>
          </w:p>
          <w:p w14:paraId="60273352">
            <w:pPr>
              <w:pStyle w:val="14"/>
              <w:ind w:right="210"/>
              <w:jc w:val="left"/>
              <w:rPr>
                <w:szCs w:val="16"/>
              </w:rPr>
            </w:pPr>
          </w:p>
          <w:p w14:paraId="5AE8AD06">
            <w:pPr>
              <w:pStyle w:val="14"/>
              <w:ind w:right="210"/>
              <w:jc w:val="left"/>
              <w:rPr>
                <w:szCs w:val="16"/>
              </w:rPr>
            </w:pPr>
            <w:r>
              <w:rPr>
                <w:rFonts w:hint="eastAsia"/>
                <w:szCs w:val="16"/>
              </w:rPr>
              <w:t>实验项目名称</w:t>
            </w:r>
          </w:p>
        </w:tc>
        <w:tc>
          <w:tcPr>
            <w:tcW w:w="956" w:type="dxa"/>
            <w:tcBorders>
              <w:top w:val="single" w:color="auto" w:sz="12" w:space="0"/>
            </w:tcBorders>
            <w:vAlign w:val="center"/>
          </w:tcPr>
          <w:p w14:paraId="2B42B006">
            <w:pPr>
              <w:pStyle w:val="14"/>
              <w:rPr>
                <w:szCs w:val="16"/>
              </w:rPr>
            </w:pPr>
            <w:r>
              <w:rPr>
                <w:rFonts w:hint="eastAsia"/>
                <w:szCs w:val="16"/>
              </w:rPr>
              <w:t>1</w:t>
            </w:r>
          </w:p>
        </w:tc>
        <w:tc>
          <w:tcPr>
            <w:tcW w:w="956" w:type="dxa"/>
            <w:tcBorders>
              <w:top w:val="single" w:color="auto" w:sz="12" w:space="0"/>
            </w:tcBorders>
            <w:vAlign w:val="center"/>
          </w:tcPr>
          <w:p w14:paraId="38679EC9">
            <w:pPr>
              <w:pStyle w:val="14"/>
              <w:rPr>
                <w:szCs w:val="16"/>
              </w:rPr>
            </w:pPr>
            <w:r>
              <w:rPr>
                <w:rFonts w:hint="eastAsia"/>
                <w:szCs w:val="16"/>
              </w:rPr>
              <w:t>2</w:t>
            </w:r>
          </w:p>
        </w:tc>
        <w:tc>
          <w:tcPr>
            <w:tcW w:w="956" w:type="dxa"/>
            <w:tcBorders>
              <w:top w:val="single" w:color="auto" w:sz="12" w:space="0"/>
            </w:tcBorders>
            <w:vAlign w:val="center"/>
          </w:tcPr>
          <w:p w14:paraId="7A435F3B">
            <w:pPr>
              <w:pStyle w:val="14"/>
              <w:rPr>
                <w:szCs w:val="16"/>
              </w:rPr>
            </w:pPr>
            <w:r>
              <w:rPr>
                <w:rFonts w:hint="eastAsia"/>
                <w:szCs w:val="16"/>
              </w:rPr>
              <w:t>3</w:t>
            </w:r>
          </w:p>
        </w:tc>
        <w:tc>
          <w:tcPr>
            <w:tcW w:w="956" w:type="dxa"/>
            <w:tcBorders>
              <w:top w:val="single" w:color="auto" w:sz="12" w:space="0"/>
            </w:tcBorders>
            <w:vAlign w:val="center"/>
          </w:tcPr>
          <w:p w14:paraId="05A94EF3">
            <w:pPr>
              <w:pStyle w:val="14"/>
              <w:rPr>
                <w:szCs w:val="16"/>
              </w:rPr>
            </w:pPr>
            <w:r>
              <w:rPr>
                <w:rFonts w:hint="eastAsia"/>
                <w:szCs w:val="16"/>
              </w:rPr>
              <w:t>4</w:t>
            </w:r>
          </w:p>
        </w:tc>
        <w:tc>
          <w:tcPr>
            <w:tcW w:w="1405" w:type="dxa"/>
            <w:tcBorders>
              <w:top w:val="single" w:color="auto" w:sz="12" w:space="0"/>
              <w:right w:val="single" w:color="auto" w:sz="12" w:space="0"/>
            </w:tcBorders>
            <w:vAlign w:val="center"/>
          </w:tcPr>
          <w:p w14:paraId="4B468523">
            <w:pPr>
              <w:pStyle w:val="14"/>
              <w:rPr>
                <w:szCs w:val="16"/>
              </w:rPr>
            </w:pPr>
            <w:r>
              <w:rPr>
                <w:rFonts w:hint="eastAsia"/>
                <w:szCs w:val="16"/>
              </w:rPr>
              <w:t>5</w:t>
            </w:r>
          </w:p>
        </w:tc>
      </w:tr>
      <w:tr w14:paraId="30B3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36" w:type="dxa"/>
            <w:tcBorders>
              <w:left w:val="single" w:color="auto" w:sz="12" w:space="0"/>
            </w:tcBorders>
          </w:tcPr>
          <w:p w14:paraId="0569E30C">
            <w:pPr>
              <w:pStyle w:val="15"/>
            </w:pPr>
            <w:r>
              <w:rPr>
                <w:rFonts w:hint="eastAsia"/>
              </w:rPr>
              <w:t>基础技法训练</w:t>
            </w:r>
          </w:p>
        </w:tc>
        <w:tc>
          <w:tcPr>
            <w:tcW w:w="956" w:type="dxa"/>
            <w:vAlign w:val="center"/>
          </w:tcPr>
          <w:p w14:paraId="4A37F57C">
            <w:pPr>
              <w:pStyle w:val="15"/>
            </w:pPr>
          </w:p>
        </w:tc>
        <w:tc>
          <w:tcPr>
            <w:tcW w:w="956" w:type="dxa"/>
            <w:vAlign w:val="center"/>
          </w:tcPr>
          <w:p w14:paraId="5FD183BE">
            <w:pPr>
              <w:pStyle w:val="15"/>
            </w:pPr>
            <w:r>
              <w:rPr>
                <w:rFonts w:hint="eastAsia"/>
              </w:rPr>
              <w:t>√</w:t>
            </w:r>
          </w:p>
        </w:tc>
        <w:tc>
          <w:tcPr>
            <w:tcW w:w="956" w:type="dxa"/>
            <w:vAlign w:val="center"/>
          </w:tcPr>
          <w:p w14:paraId="03B7E6DF">
            <w:pPr>
              <w:pStyle w:val="15"/>
            </w:pPr>
            <w:r>
              <w:rPr>
                <w:rFonts w:hint="eastAsia"/>
              </w:rPr>
              <w:t>√</w:t>
            </w:r>
          </w:p>
        </w:tc>
        <w:tc>
          <w:tcPr>
            <w:tcW w:w="956" w:type="dxa"/>
            <w:vAlign w:val="center"/>
          </w:tcPr>
          <w:p w14:paraId="41209A21">
            <w:pPr>
              <w:pStyle w:val="15"/>
            </w:pPr>
            <w:r>
              <w:rPr>
                <w:rFonts w:hint="eastAsia"/>
              </w:rPr>
              <w:t>√</w:t>
            </w:r>
          </w:p>
        </w:tc>
        <w:tc>
          <w:tcPr>
            <w:tcW w:w="1405" w:type="dxa"/>
            <w:tcBorders>
              <w:right w:val="single" w:color="auto" w:sz="12" w:space="0"/>
            </w:tcBorders>
            <w:vAlign w:val="center"/>
          </w:tcPr>
          <w:p w14:paraId="1AC5C8C5">
            <w:pPr>
              <w:pStyle w:val="15"/>
            </w:pPr>
          </w:p>
        </w:tc>
      </w:tr>
      <w:tr w14:paraId="2F60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36" w:type="dxa"/>
            <w:tcBorders>
              <w:left w:val="single" w:color="auto" w:sz="12" w:space="0"/>
            </w:tcBorders>
          </w:tcPr>
          <w:p w14:paraId="0190805E">
            <w:pPr>
              <w:pStyle w:val="15"/>
            </w:pPr>
            <w:r>
              <w:rPr>
                <w:rFonts w:hint="eastAsia"/>
              </w:rPr>
              <w:t>论据范例收集</w:t>
            </w:r>
          </w:p>
        </w:tc>
        <w:tc>
          <w:tcPr>
            <w:tcW w:w="956" w:type="dxa"/>
            <w:vAlign w:val="center"/>
          </w:tcPr>
          <w:p w14:paraId="1F994E59">
            <w:pPr>
              <w:pStyle w:val="15"/>
            </w:pPr>
            <w:r>
              <w:rPr>
                <w:rFonts w:hint="eastAsia"/>
              </w:rPr>
              <w:t>√</w:t>
            </w:r>
          </w:p>
        </w:tc>
        <w:tc>
          <w:tcPr>
            <w:tcW w:w="956" w:type="dxa"/>
            <w:vAlign w:val="center"/>
          </w:tcPr>
          <w:p w14:paraId="575F68A6">
            <w:pPr>
              <w:pStyle w:val="15"/>
            </w:pPr>
            <w:r>
              <w:rPr>
                <w:rFonts w:hint="eastAsia"/>
              </w:rPr>
              <w:t>√</w:t>
            </w:r>
          </w:p>
        </w:tc>
        <w:tc>
          <w:tcPr>
            <w:tcW w:w="956" w:type="dxa"/>
            <w:vAlign w:val="center"/>
          </w:tcPr>
          <w:p w14:paraId="023E961E">
            <w:pPr>
              <w:pStyle w:val="15"/>
            </w:pPr>
            <w:r>
              <w:rPr>
                <w:rFonts w:hint="eastAsia"/>
              </w:rPr>
              <w:t>√</w:t>
            </w:r>
          </w:p>
        </w:tc>
        <w:tc>
          <w:tcPr>
            <w:tcW w:w="956" w:type="dxa"/>
            <w:vAlign w:val="center"/>
          </w:tcPr>
          <w:p w14:paraId="3611A49D">
            <w:pPr>
              <w:pStyle w:val="15"/>
            </w:pPr>
            <w:r>
              <w:rPr>
                <w:rFonts w:hint="eastAsia"/>
              </w:rPr>
              <w:t>√</w:t>
            </w:r>
          </w:p>
        </w:tc>
        <w:tc>
          <w:tcPr>
            <w:tcW w:w="1405" w:type="dxa"/>
            <w:tcBorders>
              <w:right w:val="single" w:color="auto" w:sz="12" w:space="0"/>
            </w:tcBorders>
            <w:vAlign w:val="center"/>
          </w:tcPr>
          <w:p w14:paraId="5DE4D8DA">
            <w:pPr>
              <w:pStyle w:val="15"/>
            </w:pPr>
            <w:r>
              <w:rPr>
                <w:rFonts w:hint="eastAsia"/>
              </w:rPr>
              <w:t>√</w:t>
            </w:r>
          </w:p>
        </w:tc>
      </w:tr>
      <w:tr w14:paraId="57A0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36" w:type="dxa"/>
            <w:tcBorders>
              <w:left w:val="single" w:color="auto" w:sz="12" w:space="0"/>
            </w:tcBorders>
          </w:tcPr>
          <w:p w14:paraId="1315F5F1">
            <w:pPr>
              <w:pStyle w:val="15"/>
            </w:pPr>
            <w:r>
              <w:rPr>
                <w:rFonts w:hint="eastAsia"/>
              </w:rPr>
              <w:t>量表指标对标</w:t>
            </w:r>
          </w:p>
        </w:tc>
        <w:tc>
          <w:tcPr>
            <w:tcW w:w="956" w:type="dxa"/>
            <w:vAlign w:val="center"/>
          </w:tcPr>
          <w:p w14:paraId="4C88D493">
            <w:pPr>
              <w:pStyle w:val="15"/>
            </w:pPr>
            <w:r>
              <w:rPr>
                <w:rFonts w:hint="eastAsia"/>
              </w:rPr>
              <w:t>√</w:t>
            </w:r>
          </w:p>
        </w:tc>
        <w:tc>
          <w:tcPr>
            <w:tcW w:w="956" w:type="dxa"/>
            <w:vAlign w:val="center"/>
          </w:tcPr>
          <w:p w14:paraId="384FE3D2">
            <w:pPr>
              <w:pStyle w:val="15"/>
            </w:pPr>
            <w:r>
              <w:rPr>
                <w:rFonts w:hint="eastAsia"/>
              </w:rPr>
              <w:t>√</w:t>
            </w:r>
          </w:p>
        </w:tc>
        <w:tc>
          <w:tcPr>
            <w:tcW w:w="956" w:type="dxa"/>
            <w:vAlign w:val="center"/>
          </w:tcPr>
          <w:p w14:paraId="6BE3AFA6">
            <w:pPr>
              <w:pStyle w:val="15"/>
            </w:pPr>
            <w:r>
              <w:rPr>
                <w:rFonts w:hint="eastAsia"/>
              </w:rPr>
              <w:t>√</w:t>
            </w:r>
          </w:p>
        </w:tc>
        <w:tc>
          <w:tcPr>
            <w:tcW w:w="956" w:type="dxa"/>
            <w:vAlign w:val="center"/>
          </w:tcPr>
          <w:p w14:paraId="18D674A2">
            <w:pPr>
              <w:pStyle w:val="15"/>
            </w:pPr>
            <w:r>
              <w:rPr>
                <w:rFonts w:hint="eastAsia"/>
              </w:rPr>
              <w:t>√</w:t>
            </w:r>
          </w:p>
        </w:tc>
        <w:tc>
          <w:tcPr>
            <w:tcW w:w="1405" w:type="dxa"/>
            <w:tcBorders>
              <w:right w:val="single" w:color="auto" w:sz="12" w:space="0"/>
            </w:tcBorders>
            <w:vAlign w:val="center"/>
          </w:tcPr>
          <w:p w14:paraId="7645321B">
            <w:pPr>
              <w:pStyle w:val="15"/>
            </w:pPr>
            <w:r>
              <w:rPr>
                <w:rFonts w:hint="eastAsia"/>
              </w:rPr>
              <w:t>√</w:t>
            </w:r>
          </w:p>
        </w:tc>
      </w:tr>
      <w:tr w14:paraId="7190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36" w:type="dxa"/>
            <w:tcBorders>
              <w:left w:val="single" w:color="auto" w:sz="12" w:space="0"/>
            </w:tcBorders>
          </w:tcPr>
          <w:p w14:paraId="36C6941D">
            <w:pPr>
              <w:pStyle w:val="15"/>
            </w:pPr>
            <w:r>
              <w:rPr>
                <w:rFonts w:hint="eastAsia"/>
              </w:rPr>
              <w:t>幻灯观点论述</w:t>
            </w:r>
          </w:p>
        </w:tc>
        <w:tc>
          <w:tcPr>
            <w:tcW w:w="956" w:type="dxa"/>
            <w:vAlign w:val="center"/>
          </w:tcPr>
          <w:p w14:paraId="7B2CE882">
            <w:pPr>
              <w:pStyle w:val="15"/>
            </w:pPr>
            <w:r>
              <w:rPr>
                <w:rFonts w:hint="eastAsia"/>
              </w:rPr>
              <w:t>√</w:t>
            </w:r>
          </w:p>
        </w:tc>
        <w:tc>
          <w:tcPr>
            <w:tcW w:w="956" w:type="dxa"/>
            <w:vAlign w:val="center"/>
          </w:tcPr>
          <w:p w14:paraId="04E0CA7A">
            <w:pPr>
              <w:pStyle w:val="15"/>
            </w:pPr>
            <w:r>
              <w:rPr>
                <w:rFonts w:hint="eastAsia"/>
              </w:rPr>
              <w:t>√</w:t>
            </w:r>
          </w:p>
        </w:tc>
        <w:tc>
          <w:tcPr>
            <w:tcW w:w="956" w:type="dxa"/>
            <w:vAlign w:val="center"/>
          </w:tcPr>
          <w:p w14:paraId="3EC4588D">
            <w:pPr>
              <w:pStyle w:val="15"/>
            </w:pPr>
            <w:r>
              <w:rPr>
                <w:rFonts w:hint="eastAsia"/>
              </w:rPr>
              <w:t>√</w:t>
            </w:r>
          </w:p>
        </w:tc>
        <w:tc>
          <w:tcPr>
            <w:tcW w:w="956" w:type="dxa"/>
            <w:vAlign w:val="center"/>
          </w:tcPr>
          <w:p w14:paraId="0D85F5D6">
            <w:pPr>
              <w:pStyle w:val="15"/>
            </w:pPr>
            <w:r>
              <w:rPr>
                <w:rFonts w:hint="eastAsia"/>
              </w:rPr>
              <w:t>√</w:t>
            </w:r>
          </w:p>
        </w:tc>
        <w:tc>
          <w:tcPr>
            <w:tcW w:w="1405" w:type="dxa"/>
            <w:tcBorders>
              <w:right w:val="single" w:color="auto" w:sz="12" w:space="0"/>
            </w:tcBorders>
            <w:vAlign w:val="center"/>
          </w:tcPr>
          <w:p w14:paraId="6734D9B2">
            <w:pPr>
              <w:pStyle w:val="15"/>
            </w:pPr>
            <w:r>
              <w:rPr>
                <w:rFonts w:hint="eastAsia"/>
              </w:rPr>
              <w:t>√</w:t>
            </w:r>
          </w:p>
        </w:tc>
      </w:tr>
      <w:tr w14:paraId="03F8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36" w:type="dxa"/>
            <w:tcBorders>
              <w:left w:val="single" w:color="auto" w:sz="12" w:space="0"/>
              <w:bottom w:val="single" w:color="auto" w:sz="12" w:space="0"/>
            </w:tcBorders>
          </w:tcPr>
          <w:p w14:paraId="4FE7126A">
            <w:pPr>
              <w:pStyle w:val="15"/>
            </w:pPr>
            <w:r>
              <w:rPr>
                <w:rFonts w:hint="eastAsia"/>
              </w:rPr>
              <w:t>口语表达</w:t>
            </w:r>
          </w:p>
        </w:tc>
        <w:tc>
          <w:tcPr>
            <w:tcW w:w="956" w:type="dxa"/>
            <w:tcBorders>
              <w:bottom w:val="single" w:color="auto" w:sz="12" w:space="0"/>
            </w:tcBorders>
            <w:vAlign w:val="center"/>
          </w:tcPr>
          <w:p w14:paraId="6EBA4F7C">
            <w:pPr>
              <w:pStyle w:val="15"/>
            </w:pPr>
            <w:r>
              <w:rPr>
                <w:rFonts w:hint="eastAsia"/>
              </w:rPr>
              <w:t>√</w:t>
            </w:r>
          </w:p>
        </w:tc>
        <w:tc>
          <w:tcPr>
            <w:tcW w:w="956" w:type="dxa"/>
            <w:tcBorders>
              <w:bottom w:val="single" w:color="auto" w:sz="12" w:space="0"/>
            </w:tcBorders>
            <w:vAlign w:val="center"/>
          </w:tcPr>
          <w:p w14:paraId="7C884639">
            <w:pPr>
              <w:pStyle w:val="15"/>
            </w:pPr>
            <w:r>
              <w:rPr>
                <w:rFonts w:hint="eastAsia"/>
              </w:rPr>
              <w:t>√</w:t>
            </w:r>
          </w:p>
        </w:tc>
        <w:tc>
          <w:tcPr>
            <w:tcW w:w="956" w:type="dxa"/>
            <w:tcBorders>
              <w:bottom w:val="single" w:color="auto" w:sz="12" w:space="0"/>
            </w:tcBorders>
            <w:vAlign w:val="center"/>
          </w:tcPr>
          <w:p w14:paraId="12FAF46B">
            <w:pPr>
              <w:pStyle w:val="15"/>
            </w:pPr>
            <w:r>
              <w:rPr>
                <w:rFonts w:hint="eastAsia"/>
              </w:rPr>
              <w:t>√</w:t>
            </w:r>
          </w:p>
        </w:tc>
        <w:tc>
          <w:tcPr>
            <w:tcW w:w="956" w:type="dxa"/>
            <w:tcBorders>
              <w:bottom w:val="single" w:color="auto" w:sz="12" w:space="0"/>
            </w:tcBorders>
            <w:vAlign w:val="center"/>
          </w:tcPr>
          <w:p w14:paraId="407F5C27">
            <w:pPr>
              <w:pStyle w:val="15"/>
            </w:pPr>
            <w:r>
              <w:rPr>
                <w:rFonts w:hint="eastAsia"/>
              </w:rPr>
              <w:t>√</w:t>
            </w:r>
          </w:p>
        </w:tc>
        <w:tc>
          <w:tcPr>
            <w:tcW w:w="1405" w:type="dxa"/>
            <w:tcBorders>
              <w:bottom w:val="single" w:color="auto" w:sz="12" w:space="0"/>
              <w:right w:val="single" w:color="auto" w:sz="12" w:space="0"/>
            </w:tcBorders>
            <w:vAlign w:val="center"/>
          </w:tcPr>
          <w:p w14:paraId="70FF0F3E">
            <w:pPr>
              <w:pStyle w:val="15"/>
            </w:pPr>
          </w:p>
        </w:tc>
      </w:tr>
      <w:bookmarkEnd w:id="0"/>
      <w:bookmarkEnd w:id="1"/>
    </w:tbl>
    <w:p w14:paraId="78991A0E">
      <w:pPr>
        <w:pStyle w:val="17"/>
        <w:spacing w:before="326" w:beforeLines="100" w:line="360" w:lineRule="auto"/>
        <w:rPr>
          <w:rFonts w:ascii="黑体" w:hAnsi="宋体"/>
        </w:rPr>
      </w:pPr>
      <w:bookmarkStart w:id="2" w:name="OLE_LINK3"/>
      <w:bookmarkStart w:id="3" w:name="OLE_LINK4"/>
      <w:r>
        <w:rPr>
          <w:rFonts w:hint="eastAsia" w:ascii="黑体" w:hAnsi="宋体"/>
        </w:rPr>
        <w:t>四、课程思政教学设计</w:t>
      </w:r>
    </w:p>
    <w:bookmarkEnd w:id="2"/>
    <w:bookmarkEnd w:id="3"/>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4338"/>
        <w:gridCol w:w="4138"/>
      </w:tblGrid>
      <w:tr w14:paraId="078B0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4338" w:type="dxa"/>
            <w:vMerge w:val="restart"/>
            <w:tcMar>
              <w:top w:w="57" w:type="dxa"/>
              <w:left w:w="85" w:type="dxa"/>
              <w:bottom w:w="57" w:type="dxa"/>
              <w:right w:w="85" w:type="dxa"/>
            </w:tcMar>
            <w:vAlign w:val="center"/>
          </w:tcPr>
          <w:p w14:paraId="24898991">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教学单元</w:t>
            </w:r>
          </w:p>
        </w:tc>
        <w:tc>
          <w:tcPr>
            <w:tcW w:w="4138" w:type="dxa"/>
            <w:vMerge w:val="restart"/>
            <w:tcMar>
              <w:top w:w="57" w:type="dxa"/>
              <w:left w:w="85" w:type="dxa"/>
              <w:bottom w:w="57" w:type="dxa"/>
              <w:right w:w="85" w:type="dxa"/>
            </w:tcMar>
            <w:vAlign w:val="center"/>
          </w:tcPr>
          <w:p w14:paraId="4B6F4A87">
            <w:pPr>
              <w:widowControl w:val="0"/>
              <w:spacing w:line="0" w:lineRule="atLeast"/>
              <w:jc w:val="both"/>
              <w:rPr>
                <w:rFonts w:ascii="Arial" w:hAnsi="Arial" w:eastAsia="黑体" w:cs="Times New Roman"/>
                <w:sz w:val="21"/>
                <w:szCs w:val="20"/>
              </w:rPr>
            </w:pPr>
            <w:r>
              <w:rPr>
                <w:rFonts w:hint="eastAsia" w:ascii="Arial" w:hAnsi="Arial" w:eastAsia="黑体" w:cs="Times New Roman"/>
                <w:sz w:val="21"/>
                <w:szCs w:val="20"/>
              </w:rPr>
              <w:t>课程思政教学设计</w:t>
            </w:r>
          </w:p>
        </w:tc>
      </w:tr>
      <w:tr w14:paraId="28183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326" w:hRule="atLeast"/>
          <w:jc w:val="center"/>
        </w:trPr>
        <w:tc>
          <w:tcPr>
            <w:tcW w:w="4338" w:type="dxa"/>
            <w:vMerge w:val="continue"/>
            <w:tcMar>
              <w:top w:w="57" w:type="dxa"/>
              <w:left w:w="85" w:type="dxa"/>
              <w:bottom w:w="57" w:type="dxa"/>
              <w:right w:w="85" w:type="dxa"/>
            </w:tcMar>
            <w:vAlign w:val="center"/>
          </w:tcPr>
          <w:p w14:paraId="7BD18F61">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p>
        </w:tc>
        <w:tc>
          <w:tcPr>
            <w:tcW w:w="4138" w:type="dxa"/>
            <w:vMerge w:val="continue"/>
            <w:tcMar>
              <w:top w:w="57" w:type="dxa"/>
              <w:left w:w="85" w:type="dxa"/>
              <w:bottom w:w="57" w:type="dxa"/>
              <w:right w:w="85" w:type="dxa"/>
            </w:tcMar>
            <w:vAlign w:val="center"/>
          </w:tcPr>
          <w:p w14:paraId="317672A0">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p>
        </w:tc>
      </w:tr>
      <w:tr w14:paraId="28732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4338" w:type="dxa"/>
            <w:tcMar>
              <w:top w:w="57" w:type="dxa"/>
              <w:left w:w="85" w:type="dxa"/>
              <w:bottom w:w="57" w:type="dxa"/>
              <w:right w:w="85" w:type="dxa"/>
            </w:tcMar>
            <w:vAlign w:val="center"/>
          </w:tcPr>
          <w:p w14:paraId="45027EEB">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rPr>
              <w:t>Chapter 1 Welcome to Debate</w:t>
            </w:r>
          </w:p>
        </w:tc>
        <w:tc>
          <w:tcPr>
            <w:tcW w:w="4138" w:type="dxa"/>
            <w:tcMar>
              <w:top w:w="57" w:type="dxa"/>
              <w:left w:w="85" w:type="dxa"/>
              <w:bottom w:w="57" w:type="dxa"/>
              <w:right w:w="85" w:type="dxa"/>
            </w:tcMar>
            <w:vAlign w:val="center"/>
          </w:tcPr>
          <w:p w14:paraId="0BCBE740">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通过上课的辩论教程材料，以及上课小组实践环节的展开，探讨学生对社会热点议题和事件涉猎的必要性和中英文相关素材收集思路，鼓励学生融入主流社会价值观体系进行问题探讨。学做善于融入社会的一员。</w:t>
            </w:r>
          </w:p>
        </w:tc>
      </w:tr>
      <w:tr w14:paraId="6189C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4338" w:type="dxa"/>
            <w:tcMar>
              <w:top w:w="57" w:type="dxa"/>
              <w:left w:w="85" w:type="dxa"/>
              <w:bottom w:w="57" w:type="dxa"/>
              <w:right w:w="85" w:type="dxa"/>
            </w:tcMar>
            <w:vAlign w:val="center"/>
          </w:tcPr>
          <w:p w14:paraId="64E9E8DF">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rPr>
              <w:t>Chapter 2 Fundamentals of Debate</w:t>
            </w:r>
          </w:p>
        </w:tc>
        <w:tc>
          <w:tcPr>
            <w:tcW w:w="4138" w:type="dxa"/>
            <w:tcMar>
              <w:top w:w="57" w:type="dxa"/>
              <w:left w:w="85" w:type="dxa"/>
              <w:bottom w:w="57" w:type="dxa"/>
              <w:right w:w="85" w:type="dxa"/>
            </w:tcMar>
            <w:vAlign w:val="center"/>
          </w:tcPr>
          <w:p w14:paraId="7C97AB0B">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探讨学生对社会热点议题和事件的剖析基础和基本方法，训练学生能使用基本的观察视角来观察已经成为现实的近阶段社会性议题。善于观察，成为城市生活的主动信息接收者。</w:t>
            </w:r>
          </w:p>
        </w:tc>
      </w:tr>
      <w:tr w14:paraId="27737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4338" w:type="dxa"/>
            <w:tcMar>
              <w:top w:w="57" w:type="dxa"/>
              <w:left w:w="85" w:type="dxa"/>
              <w:bottom w:w="57" w:type="dxa"/>
              <w:right w:w="85" w:type="dxa"/>
            </w:tcMar>
            <w:vAlign w:val="center"/>
          </w:tcPr>
          <w:p w14:paraId="7D4DC80C">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rPr>
              <w:t>Chapter 3 Critical Thinking in Debate</w:t>
            </w:r>
          </w:p>
        </w:tc>
        <w:tc>
          <w:tcPr>
            <w:tcW w:w="4138" w:type="dxa"/>
            <w:tcMar>
              <w:top w:w="57" w:type="dxa"/>
              <w:left w:w="85" w:type="dxa"/>
              <w:bottom w:w="57" w:type="dxa"/>
              <w:right w:w="85" w:type="dxa"/>
            </w:tcMar>
            <w:vAlign w:val="center"/>
          </w:tcPr>
          <w:p w14:paraId="2C006D72">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通过上课的辩论教程材料，以及上课小组实践环节的展开，探讨学生对社会热点议题和事件的剖析基础和基本方法，训练学生能使用基本的思辨角度来思考社会性议题。善于作社会问题的啄木鸟。</w:t>
            </w:r>
          </w:p>
        </w:tc>
      </w:tr>
      <w:tr w14:paraId="1FE97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4338" w:type="dxa"/>
            <w:tcMar>
              <w:top w:w="57" w:type="dxa"/>
              <w:left w:w="85" w:type="dxa"/>
              <w:bottom w:w="57" w:type="dxa"/>
              <w:right w:w="85" w:type="dxa"/>
            </w:tcMar>
            <w:vAlign w:val="center"/>
          </w:tcPr>
          <w:p w14:paraId="138D1654">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rPr>
              <w:t>Chapter 4 Developing Effective Pubic Speaking Skills</w:t>
            </w:r>
          </w:p>
        </w:tc>
        <w:tc>
          <w:tcPr>
            <w:tcW w:w="4138" w:type="dxa"/>
            <w:tcMar>
              <w:top w:w="57" w:type="dxa"/>
              <w:left w:w="85" w:type="dxa"/>
              <w:bottom w:w="57" w:type="dxa"/>
              <w:right w:w="85" w:type="dxa"/>
            </w:tcMar>
            <w:vAlign w:val="center"/>
          </w:tcPr>
          <w:p w14:paraId="269E3F27">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通过上课的辩论教程材料，以及上课小组实践环节的展开，探讨学生基本交际口才技能对于自我能力实现的助益作用，鼓励学生后续开口进行课堂实践。鼓励其循序渐进掌握方法，成为口才达人。</w:t>
            </w:r>
          </w:p>
        </w:tc>
      </w:tr>
      <w:tr w14:paraId="17210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4338" w:type="dxa"/>
            <w:tcMar>
              <w:top w:w="57" w:type="dxa"/>
              <w:left w:w="85" w:type="dxa"/>
              <w:bottom w:w="57" w:type="dxa"/>
              <w:right w:w="85" w:type="dxa"/>
            </w:tcMar>
            <w:vAlign w:val="center"/>
          </w:tcPr>
          <w:p w14:paraId="5B4ECA34">
            <w:pPr>
              <w:widowControl w:val="0"/>
              <w:spacing w:line="0" w:lineRule="atLeast"/>
              <w:jc w:val="both"/>
              <w:rPr>
                <w:rFonts w:ascii="Times New Roman" w:hAnsi="Times New Roman" w:cs="Times New Roman"/>
              </w:rPr>
            </w:pPr>
            <w:r>
              <w:rPr>
                <w:rFonts w:ascii="Times New Roman" w:hAnsi="Times New Roman" w:cs="Times New Roman"/>
              </w:rPr>
              <w:t>Chapter 5 Impromptu and Extemporaneous Speaking</w:t>
            </w:r>
          </w:p>
        </w:tc>
        <w:tc>
          <w:tcPr>
            <w:tcW w:w="4138" w:type="dxa"/>
            <w:tcMar>
              <w:top w:w="57" w:type="dxa"/>
              <w:left w:w="85" w:type="dxa"/>
              <w:bottom w:w="57" w:type="dxa"/>
              <w:right w:w="85" w:type="dxa"/>
            </w:tcMar>
            <w:vAlign w:val="center"/>
          </w:tcPr>
          <w:p w14:paraId="78B01BA2">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实验学生个体在准备后和临场发挥下的口语能力有何异同，尤其是对社会热点议题和事件的应对能力，提高学生口才能力培养的自发性诉求。鼓励其做有内驱力和有主动表达诉求的人才。</w:t>
            </w:r>
          </w:p>
        </w:tc>
      </w:tr>
      <w:tr w14:paraId="5F302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4338" w:type="dxa"/>
            <w:tcMar>
              <w:top w:w="57" w:type="dxa"/>
              <w:left w:w="85" w:type="dxa"/>
              <w:bottom w:w="57" w:type="dxa"/>
              <w:right w:w="85" w:type="dxa"/>
            </w:tcMar>
            <w:vAlign w:val="center"/>
          </w:tcPr>
          <w:p w14:paraId="68444C44">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rPr>
              <w:t>Chapter 6 Listening and Flowing</w:t>
            </w:r>
          </w:p>
        </w:tc>
        <w:tc>
          <w:tcPr>
            <w:tcW w:w="4138" w:type="dxa"/>
            <w:tcMar>
              <w:top w:w="57" w:type="dxa"/>
              <w:left w:w="85" w:type="dxa"/>
              <w:bottom w:w="57" w:type="dxa"/>
              <w:right w:w="85" w:type="dxa"/>
            </w:tcMar>
            <w:vAlign w:val="center"/>
          </w:tcPr>
          <w:p w14:paraId="1F2EBDB3">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通过上课的辩论教程材料，以及上课小组实践环节的展开，鼓励学生个体善于聆听他人的见解，并进行同步的思路流转，保持口语交际中的交互性功能。做善于沟通思路、意识想法的交互性人才。</w:t>
            </w:r>
          </w:p>
        </w:tc>
      </w:tr>
      <w:tr w14:paraId="79702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561CBF39">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rPr>
              <w:t>Chapter 7 Motions</w:t>
            </w:r>
          </w:p>
        </w:tc>
        <w:tc>
          <w:tcPr>
            <w:tcW w:w="4138" w:type="dxa"/>
            <w:tcMar>
              <w:top w:w="57" w:type="dxa"/>
              <w:left w:w="85" w:type="dxa"/>
              <w:bottom w:w="57" w:type="dxa"/>
              <w:right w:w="85" w:type="dxa"/>
            </w:tcMar>
            <w:vAlign w:val="center"/>
          </w:tcPr>
          <w:p w14:paraId="27E0E2F9">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通过上课的辩论教程材料，以及上课小组实践环节的展开，鼓励学生个体主动自发地代表小组提出己方动议。鼓励其成为一个团体的代表，具有带头性、主动性意识。</w:t>
            </w:r>
          </w:p>
        </w:tc>
      </w:tr>
      <w:tr w14:paraId="70975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5EC2F9C7">
            <w:pPr>
              <w:widowControl w:val="0"/>
              <w:spacing w:line="0" w:lineRule="atLeast"/>
              <w:jc w:val="both"/>
              <w:rPr>
                <w:rFonts w:ascii="Times New Roman" w:hAnsi="Times New Roman" w:cs="Times New Roman"/>
              </w:rPr>
            </w:pPr>
            <w:r>
              <w:rPr>
                <w:rFonts w:ascii="Times New Roman" w:hAnsi="Times New Roman" w:cs="Times New Roman"/>
              </w:rPr>
              <w:t>Chapter 8 Researching</w:t>
            </w:r>
          </w:p>
        </w:tc>
        <w:tc>
          <w:tcPr>
            <w:tcW w:w="4138" w:type="dxa"/>
            <w:tcMar>
              <w:top w:w="57" w:type="dxa"/>
              <w:left w:w="85" w:type="dxa"/>
              <w:bottom w:w="57" w:type="dxa"/>
              <w:right w:w="85" w:type="dxa"/>
            </w:tcMar>
            <w:vAlign w:val="center"/>
          </w:tcPr>
          <w:p w14:paraId="78F52B9E">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通过上课的辩论教程材料，以及上课小组实践环节的展开，鼓励学生在实践中善于用好电子设备，进行资料素材的检索和剖析整合。鼓励其做善于有资料收集、检索意识的现代学子。</w:t>
            </w:r>
          </w:p>
        </w:tc>
      </w:tr>
      <w:tr w14:paraId="628E8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78A19369">
            <w:pPr>
              <w:widowControl w:val="0"/>
              <w:spacing w:line="0" w:lineRule="atLeast"/>
              <w:jc w:val="both"/>
              <w:rPr>
                <w:rFonts w:ascii="Times New Roman" w:hAnsi="Times New Roman" w:cs="Times New Roman"/>
              </w:rPr>
            </w:pPr>
            <w:r>
              <w:rPr>
                <w:rFonts w:ascii="Times New Roman" w:hAnsi="Times New Roman" w:cs="Times New Roman"/>
              </w:rPr>
              <w:t>Chapter 9 Propositional Case Development</w:t>
            </w:r>
          </w:p>
        </w:tc>
        <w:tc>
          <w:tcPr>
            <w:tcW w:w="4138" w:type="dxa"/>
            <w:tcMar>
              <w:top w:w="57" w:type="dxa"/>
              <w:left w:w="85" w:type="dxa"/>
              <w:bottom w:w="57" w:type="dxa"/>
              <w:right w:w="85" w:type="dxa"/>
            </w:tcMar>
            <w:vAlign w:val="center"/>
          </w:tcPr>
          <w:p w14:paraId="69A10D77">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通过上课的辩论教程材料，以及上课小组实践环节的展开，鼓励学生收集有效案例，并保持其真实性。做保持诚信意识，不杜撰、编造事例，规避过多的主观臆断，能更客观地分析社会现存事物。</w:t>
            </w:r>
          </w:p>
        </w:tc>
      </w:tr>
      <w:tr w14:paraId="1591A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108B1A8E">
            <w:pPr>
              <w:widowControl w:val="0"/>
              <w:spacing w:line="0" w:lineRule="atLeast"/>
              <w:jc w:val="both"/>
              <w:rPr>
                <w:rFonts w:ascii="Times New Roman" w:hAnsi="Times New Roman" w:cs="Times New Roman"/>
              </w:rPr>
            </w:pPr>
            <w:r>
              <w:rPr>
                <w:rFonts w:ascii="Times New Roman" w:hAnsi="Times New Roman" w:cs="Times New Roman"/>
              </w:rPr>
              <w:t>Chapter 10 Oppositional Counter-case Development</w:t>
            </w:r>
          </w:p>
        </w:tc>
        <w:tc>
          <w:tcPr>
            <w:tcW w:w="4138" w:type="dxa"/>
            <w:tcMar>
              <w:top w:w="57" w:type="dxa"/>
              <w:left w:w="85" w:type="dxa"/>
              <w:bottom w:w="57" w:type="dxa"/>
              <w:right w:w="85" w:type="dxa"/>
            </w:tcMar>
            <w:vAlign w:val="center"/>
          </w:tcPr>
          <w:p w14:paraId="43866305">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通过上课的辩论教程材料，以及上课小组实践环节的展开，鼓励学生针对对方的论据，进行反驳为目的的资料收集查找。培养学生能针对某个话题目的，做有提前思路预判，掌握话题先机的口才达人。</w:t>
            </w:r>
          </w:p>
        </w:tc>
      </w:tr>
      <w:tr w14:paraId="08C40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0EF99117">
            <w:pPr>
              <w:widowControl w:val="0"/>
              <w:spacing w:line="0" w:lineRule="atLeast"/>
              <w:jc w:val="both"/>
              <w:rPr>
                <w:rFonts w:ascii="Times New Roman" w:hAnsi="Times New Roman" w:cs="Times New Roman"/>
              </w:rPr>
            </w:pPr>
            <w:r>
              <w:rPr>
                <w:rFonts w:ascii="Times New Roman" w:hAnsi="Times New Roman" w:cs="Times New Roman"/>
              </w:rPr>
              <w:t>Chapter 11 Refutation and Rejoinder</w:t>
            </w:r>
          </w:p>
        </w:tc>
        <w:tc>
          <w:tcPr>
            <w:tcW w:w="4138" w:type="dxa"/>
            <w:tcMar>
              <w:top w:w="57" w:type="dxa"/>
              <w:left w:w="85" w:type="dxa"/>
              <w:bottom w:w="57" w:type="dxa"/>
              <w:right w:w="85" w:type="dxa"/>
            </w:tcMar>
            <w:vAlign w:val="center"/>
          </w:tcPr>
          <w:p w14:paraId="173FE1BF">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通过上课的辩论教程材料，以及上课小组实践环节的展开，鼓励学生针对对方的论据，进行反驳为目的的陈述和辩驳。培养学生能针对某个话题目的，做不“人云亦云”，而是逐渐会进行有效辩驳的口才达人。</w:t>
            </w:r>
          </w:p>
        </w:tc>
      </w:tr>
      <w:tr w14:paraId="2D6A8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643FA75A">
            <w:pPr>
              <w:widowControl w:val="0"/>
              <w:spacing w:line="0" w:lineRule="atLeast"/>
              <w:jc w:val="both"/>
              <w:rPr>
                <w:rFonts w:ascii="Times New Roman" w:hAnsi="Times New Roman" w:cs="Times New Roman"/>
              </w:rPr>
            </w:pPr>
            <w:r>
              <w:rPr>
                <w:rFonts w:ascii="Times New Roman" w:hAnsi="Times New Roman" w:cs="Times New Roman"/>
              </w:rPr>
              <w:t>Chapter 12 Logcal Fallacies</w:t>
            </w:r>
          </w:p>
        </w:tc>
        <w:tc>
          <w:tcPr>
            <w:tcW w:w="4138" w:type="dxa"/>
            <w:tcMar>
              <w:top w:w="57" w:type="dxa"/>
              <w:left w:w="85" w:type="dxa"/>
              <w:bottom w:w="57" w:type="dxa"/>
              <w:right w:w="85" w:type="dxa"/>
            </w:tcMar>
            <w:vAlign w:val="center"/>
          </w:tcPr>
          <w:p w14:paraId="79041A1C">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通过上课的辩论教程材料，以及上课小组实践环节的展开，让学生找出各种实例分析中的逻辑谬误，分析错误类型，从而规避主观臆断，学会从客观性思路上来分析、阐释问题。鼓励其培养清晰的头脑思路意识。</w:t>
            </w:r>
          </w:p>
        </w:tc>
      </w:tr>
      <w:tr w14:paraId="31787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6B8A92BA">
            <w:pPr>
              <w:widowControl w:val="0"/>
              <w:spacing w:line="0" w:lineRule="atLeast"/>
              <w:jc w:val="both"/>
              <w:rPr>
                <w:rFonts w:ascii="Times New Roman" w:hAnsi="Times New Roman" w:cs="Times New Roman"/>
              </w:rPr>
            </w:pPr>
            <w:r>
              <w:rPr>
                <w:rFonts w:ascii="Times New Roman" w:hAnsi="Times New Roman" w:cs="Times New Roman"/>
              </w:rPr>
              <w:t>Chapter 13 Competing in Debate Tournaments</w:t>
            </w:r>
          </w:p>
        </w:tc>
        <w:tc>
          <w:tcPr>
            <w:tcW w:w="4138" w:type="dxa"/>
            <w:tcMar>
              <w:top w:w="57" w:type="dxa"/>
              <w:left w:w="85" w:type="dxa"/>
              <w:bottom w:w="57" w:type="dxa"/>
              <w:right w:w="85" w:type="dxa"/>
            </w:tcMar>
            <w:vAlign w:val="center"/>
          </w:tcPr>
          <w:p w14:paraId="3E2BCD86">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通过上课的辩论教程材料，以及上课小组实践环节的展开，让学生以小组为单位，进行辩论竞赛操练。培养其的团队协作性和荣誉感，并能接受比赛的结果，使其逐渐成有团队精神的学子。</w:t>
            </w:r>
          </w:p>
        </w:tc>
      </w:tr>
      <w:tr w14:paraId="7CB84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74F4164B">
            <w:pPr>
              <w:widowControl w:val="0"/>
              <w:spacing w:line="0" w:lineRule="atLeast"/>
              <w:jc w:val="both"/>
              <w:rPr>
                <w:rFonts w:ascii="Times New Roman" w:hAnsi="Times New Roman" w:cs="Times New Roman"/>
              </w:rPr>
            </w:pPr>
            <w:r>
              <w:rPr>
                <w:rFonts w:ascii="Times New Roman" w:hAnsi="Times New Roman" w:cs="Times New Roman"/>
              </w:rPr>
              <w:t>Appendix 1 Glossary of Debate Terms</w:t>
            </w:r>
          </w:p>
        </w:tc>
        <w:tc>
          <w:tcPr>
            <w:tcW w:w="4138" w:type="dxa"/>
            <w:tcMar>
              <w:top w:w="57" w:type="dxa"/>
              <w:left w:w="85" w:type="dxa"/>
              <w:bottom w:w="57" w:type="dxa"/>
              <w:right w:w="85" w:type="dxa"/>
            </w:tcMar>
            <w:vAlign w:val="center"/>
          </w:tcPr>
          <w:p w14:paraId="530833CE">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让学生整理辩论语汇的分类，了解行话秘语和专业术语的区别。使其明白“隔行如隔山”，首先就在于每个行业或者能力展示方式的语汇有明显区别。培养其语汇进阶意识，能成为某个行业领域的词汇达人。</w:t>
            </w:r>
          </w:p>
        </w:tc>
      </w:tr>
      <w:tr w14:paraId="090E9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44F0D031">
            <w:pPr>
              <w:widowControl w:val="0"/>
              <w:spacing w:line="0" w:lineRule="atLeast"/>
              <w:jc w:val="both"/>
              <w:rPr>
                <w:rFonts w:ascii="Times New Roman" w:hAnsi="Times New Roman" w:cs="Times New Roman"/>
              </w:rPr>
            </w:pPr>
            <w:r>
              <w:rPr>
                <w:rFonts w:ascii="Times New Roman" w:hAnsi="Times New Roman" w:cs="Times New Roman"/>
              </w:rPr>
              <w:t>Appendix 2 Fallacy List</w:t>
            </w:r>
          </w:p>
        </w:tc>
        <w:tc>
          <w:tcPr>
            <w:tcW w:w="4138" w:type="dxa"/>
            <w:tcMar>
              <w:top w:w="57" w:type="dxa"/>
              <w:left w:w="85" w:type="dxa"/>
              <w:bottom w:w="57" w:type="dxa"/>
              <w:right w:w="85" w:type="dxa"/>
            </w:tcMar>
            <w:vAlign w:val="center"/>
          </w:tcPr>
          <w:p w14:paraId="656FB20E">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通过上课的辩论教程材料，以及上课小组实践环节的展开，让学生找出各种实例分析中的逻辑谬误，分析错误类型，从而规避主观臆断，学会从客观性思路上来分析、阐释问题。鼓励其培养清晰的头脑思路意识。</w:t>
            </w:r>
          </w:p>
        </w:tc>
      </w:tr>
      <w:tr w14:paraId="6B4B6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4338" w:type="dxa"/>
            <w:tcMar>
              <w:top w:w="57" w:type="dxa"/>
              <w:left w:w="85" w:type="dxa"/>
              <w:bottom w:w="57" w:type="dxa"/>
              <w:right w:w="85" w:type="dxa"/>
            </w:tcMar>
            <w:vAlign w:val="center"/>
          </w:tcPr>
          <w:p w14:paraId="10AFA162">
            <w:pPr>
              <w:widowControl w:val="0"/>
              <w:spacing w:line="0" w:lineRule="atLeast"/>
              <w:jc w:val="both"/>
              <w:rPr>
                <w:rFonts w:ascii="Times New Roman" w:hAnsi="Times New Roman" w:cs="Times New Roman"/>
              </w:rPr>
            </w:pPr>
            <w:r>
              <w:rPr>
                <w:rFonts w:ascii="Times New Roman" w:hAnsi="Times New Roman" w:cs="Times New Roman"/>
              </w:rPr>
              <w:t>Appendix 3 How to Conduct a Debate Tournament</w:t>
            </w:r>
          </w:p>
        </w:tc>
        <w:tc>
          <w:tcPr>
            <w:tcW w:w="4138" w:type="dxa"/>
            <w:tcMar>
              <w:top w:w="57" w:type="dxa"/>
              <w:left w:w="85" w:type="dxa"/>
              <w:bottom w:w="57" w:type="dxa"/>
              <w:right w:w="85" w:type="dxa"/>
            </w:tcMar>
            <w:vAlign w:val="center"/>
          </w:tcPr>
          <w:p w14:paraId="3CCEF9A1">
            <w:pPr>
              <w:widowControl w:val="0"/>
              <w:spacing w:line="0" w:lineRule="atLeast"/>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通过上课的辩论教程材料，以及上课小组实践环节的展开，让学生以小组为单位，进行辩论竞赛操练。培养其的团队协作性活动的组织、安排和监管能力，在社会性活动中具备一定的组织管理意识。</w:t>
            </w:r>
          </w:p>
        </w:tc>
      </w:tr>
    </w:tbl>
    <w:p w14:paraId="46684D4B">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r>
        <w:rPr>
          <w:rFonts w:hint="eastAsia" w:ascii="Arial" w:hAnsi="Arial" w:eastAsia="黑体" w:cs="Times New Roman"/>
          <w:color w:val="000000" w:themeColor="text1"/>
          <w:sz w:val="28"/>
          <w:szCs w:val="21"/>
          <w14:textFill>
            <w14:solidFill>
              <w14:schemeClr w14:val="tx1"/>
            </w14:solidFill>
          </w14:textFill>
        </w:rPr>
        <w:t>五、课程考核</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04"/>
        <w:gridCol w:w="2189"/>
        <w:gridCol w:w="839"/>
        <w:gridCol w:w="755"/>
        <w:gridCol w:w="783"/>
        <w:gridCol w:w="903"/>
        <w:gridCol w:w="842"/>
        <w:gridCol w:w="685"/>
      </w:tblGrid>
      <w:tr w14:paraId="10B5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Merge w:val="restart"/>
            <w:tcBorders>
              <w:top w:val="single" w:color="auto" w:sz="12" w:space="0"/>
              <w:left w:val="single" w:color="auto" w:sz="12" w:space="0"/>
            </w:tcBorders>
            <w:tcMar>
              <w:top w:w="57" w:type="dxa"/>
              <w:left w:w="85" w:type="dxa"/>
              <w:bottom w:w="57" w:type="dxa"/>
              <w:right w:w="85" w:type="dxa"/>
            </w:tcMar>
            <w:vAlign w:val="center"/>
          </w:tcPr>
          <w:p w14:paraId="2A6A1149">
            <w:pPr>
              <w:widowControl w:val="0"/>
              <w:spacing w:line="480" w:lineRule="auto"/>
              <w:jc w:val="both"/>
              <w:outlineLvl w:val="0"/>
              <w:rPr>
                <w:rFonts w:ascii="Times New Roman" w:hAnsi="Times New Roman"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总评构成</w:t>
            </w:r>
          </w:p>
        </w:tc>
        <w:tc>
          <w:tcPr>
            <w:tcW w:w="704" w:type="dxa"/>
            <w:vMerge w:val="restart"/>
            <w:tcBorders>
              <w:top w:val="single" w:color="auto" w:sz="12" w:space="0"/>
            </w:tcBorders>
            <w:tcMar>
              <w:top w:w="57" w:type="dxa"/>
              <w:left w:w="85" w:type="dxa"/>
              <w:bottom w:w="57" w:type="dxa"/>
              <w:right w:w="85" w:type="dxa"/>
            </w:tcMar>
            <w:vAlign w:val="center"/>
          </w:tcPr>
          <w:p w14:paraId="4225EB98">
            <w:pPr>
              <w:widowControl w:val="0"/>
              <w:spacing w:line="480" w:lineRule="auto"/>
              <w:jc w:val="both"/>
              <w:outlineLvl w:val="0"/>
              <w:rPr>
                <w:rFonts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占比</w:t>
            </w:r>
          </w:p>
        </w:tc>
        <w:tc>
          <w:tcPr>
            <w:tcW w:w="2189" w:type="dxa"/>
            <w:vMerge w:val="restart"/>
            <w:tcBorders>
              <w:top w:val="single" w:color="auto" w:sz="12" w:space="0"/>
              <w:right w:val="double" w:color="auto" w:sz="4" w:space="0"/>
            </w:tcBorders>
            <w:tcMar>
              <w:top w:w="57" w:type="dxa"/>
              <w:left w:w="85" w:type="dxa"/>
              <w:bottom w:w="57" w:type="dxa"/>
              <w:right w:w="85" w:type="dxa"/>
            </w:tcMar>
            <w:vAlign w:val="center"/>
          </w:tcPr>
          <w:p w14:paraId="43CC0A66">
            <w:pPr>
              <w:widowControl w:val="0"/>
              <w:spacing w:line="480" w:lineRule="auto"/>
              <w:jc w:val="both"/>
              <w:outlineLvl w:val="0"/>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考核方式</w:t>
            </w:r>
          </w:p>
        </w:tc>
        <w:tc>
          <w:tcPr>
            <w:tcW w:w="4122" w:type="dxa"/>
            <w:gridSpan w:val="5"/>
            <w:tcBorders>
              <w:top w:val="single" w:color="auto" w:sz="12" w:space="0"/>
            </w:tcBorders>
          </w:tcPr>
          <w:p w14:paraId="05B7BF47">
            <w:pPr>
              <w:widowControl w:val="0"/>
              <w:spacing w:line="480" w:lineRule="auto"/>
              <w:jc w:val="center"/>
              <w:outlineLvl w:val="0"/>
              <w:rPr>
                <w:rFonts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课程目标</w:t>
            </w:r>
          </w:p>
        </w:tc>
        <w:tc>
          <w:tcPr>
            <w:tcW w:w="685" w:type="dxa"/>
            <w:vMerge w:val="restart"/>
            <w:tcBorders>
              <w:top w:val="single" w:color="auto" w:sz="12" w:space="0"/>
              <w:right w:val="single" w:color="auto" w:sz="12" w:space="0"/>
            </w:tcBorders>
            <w:tcMar>
              <w:top w:w="57" w:type="dxa"/>
              <w:left w:w="85" w:type="dxa"/>
              <w:bottom w:w="57" w:type="dxa"/>
              <w:right w:w="85" w:type="dxa"/>
            </w:tcMar>
            <w:vAlign w:val="center"/>
          </w:tcPr>
          <w:p w14:paraId="7531C08F">
            <w:pPr>
              <w:widowControl w:val="0"/>
              <w:spacing w:line="480" w:lineRule="auto"/>
              <w:jc w:val="both"/>
              <w:outlineLvl w:val="0"/>
              <w:rPr>
                <w:rFonts w:ascii="Arial" w:hAnsi="Arial" w:eastAsia="黑体" w:cs="Times New Roman"/>
                <w:color w:val="000000" w:themeColor="text1"/>
                <w:sz w:val="21"/>
                <w:szCs w:val="21"/>
                <w14:textFill>
                  <w14:solidFill>
                    <w14:schemeClr w14:val="tx1"/>
                  </w14:solidFill>
                </w14:textFill>
              </w:rPr>
            </w:pPr>
            <w:r>
              <w:rPr>
                <w:rFonts w:hint="eastAsia" w:ascii="Arial" w:hAnsi="Arial" w:eastAsia="黑体" w:cs="Times New Roman"/>
                <w:color w:val="000000" w:themeColor="text1"/>
                <w:sz w:val="21"/>
                <w:szCs w:val="21"/>
                <w14:textFill>
                  <w14:solidFill>
                    <w14:schemeClr w14:val="tx1"/>
                  </w14:solidFill>
                </w14:textFill>
              </w:rPr>
              <w:t>合</w:t>
            </w:r>
            <w:r>
              <w:rPr>
                <w:rFonts w:hint="eastAsia" w:ascii="黑体" w:hAnsi="黑体" w:eastAsia="黑体" w:cs="Times New Roman"/>
                <w:color w:val="000000" w:themeColor="text1"/>
                <w:sz w:val="21"/>
                <w:szCs w:val="21"/>
                <w14:textFill>
                  <w14:solidFill>
                    <w14:schemeClr w14:val="tx1"/>
                  </w14:solidFill>
                </w14:textFill>
              </w:rPr>
              <w:t>计</w:t>
            </w:r>
          </w:p>
        </w:tc>
      </w:tr>
      <w:tr w14:paraId="473E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Merge w:val="continue"/>
            <w:tcBorders>
              <w:left w:val="single" w:color="auto" w:sz="12" w:space="0"/>
            </w:tcBorders>
            <w:tcMar>
              <w:top w:w="57" w:type="dxa"/>
              <w:left w:w="85" w:type="dxa"/>
              <w:bottom w:w="57" w:type="dxa"/>
              <w:right w:w="85" w:type="dxa"/>
            </w:tcMar>
          </w:tcPr>
          <w:p w14:paraId="11FA7D05">
            <w:pPr>
              <w:widowControl w:val="0"/>
              <w:jc w:val="both"/>
              <w:rPr>
                <w:rFonts w:ascii="Times New Roman" w:hAnsi="Times New Roman" w:cs="Times New Roman"/>
                <w:color w:val="000000" w:themeColor="text1"/>
                <w:sz w:val="21"/>
                <w:szCs w:val="21"/>
                <w14:textFill>
                  <w14:solidFill>
                    <w14:schemeClr w14:val="tx1"/>
                  </w14:solidFill>
                </w14:textFill>
              </w:rPr>
            </w:pPr>
          </w:p>
        </w:tc>
        <w:tc>
          <w:tcPr>
            <w:tcW w:w="704" w:type="dxa"/>
            <w:vMerge w:val="continue"/>
            <w:tcMar>
              <w:top w:w="57" w:type="dxa"/>
              <w:left w:w="85" w:type="dxa"/>
              <w:bottom w:w="57" w:type="dxa"/>
              <w:right w:w="85" w:type="dxa"/>
            </w:tcMar>
          </w:tcPr>
          <w:p w14:paraId="519AD7B9">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p>
        </w:tc>
        <w:tc>
          <w:tcPr>
            <w:tcW w:w="2189" w:type="dxa"/>
            <w:vMerge w:val="continue"/>
            <w:tcBorders>
              <w:right w:val="double" w:color="auto" w:sz="4" w:space="0"/>
            </w:tcBorders>
            <w:tcMar>
              <w:top w:w="57" w:type="dxa"/>
              <w:left w:w="85" w:type="dxa"/>
              <w:bottom w:w="57" w:type="dxa"/>
              <w:right w:w="85" w:type="dxa"/>
            </w:tcMar>
          </w:tcPr>
          <w:p w14:paraId="3C52A2CF">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p>
        </w:tc>
        <w:tc>
          <w:tcPr>
            <w:tcW w:w="839" w:type="dxa"/>
            <w:tcBorders>
              <w:left w:val="double" w:color="auto" w:sz="4" w:space="0"/>
            </w:tcBorders>
            <w:tcMar>
              <w:top w:w="57" w:type="dxa"/>
              <w:left w:w="85" w:type="dxa"/>
              <w:bottom w:w="57" w:type="dxa"/>
              <w:right w:w="85" w:type="dxa"/>
            </w:tcMar>
            <w:vAlign w:val="center"/>
          </w:tcPr>
          <w:p w14:paraId="493CA76E">
            <w:pPr>
              <w:widowControl w:val="0"/>
              <w:spacing w:line="480" w:lineRule="auto"/>
              <w:jc w:val="both"/>
              <w:outlineLvl w:val="0"/>
              <w:rPr>
                <w:rFonts w:ascii="Arial" w:hAnsi="Arial" w:eastAsia="黑体" w:cs="Times New Roman"/>
                <w:color w:val="000000" w:themeColor="text1"/>
                <w:sz w:val="21"/>
                <w:szCs w:val="21"/>
                <w14:textFill>
                  <w14:solidFill>
                    <w14:schemeClr w14:val="tx1"/>
                  </w14:solidFill>
                </w14:textFill>
              </w:rPr>
            </w:pPr>
            <w:r>
              <w:rPr>
                <w:rFonts w:ascii="Arial" w:hAnsi="Arial" w:eastAsia="黑体" w:cs="Times New Roman"/>
                <w:color w:val="000000" w:themeColor="text1"/>
                <w:sz w:val="21"/>
                <w:szCs w:val="21"/>
                <w14:textFill>
                  <w14:solidFill>
                    <w14:schemeClr w14:val="tx1"/>
                  </w14:solidFill>
                </w14:textFill>
              </w:rPr>
              <w:t>1</w:t>
            </w:r>
          </w:p>
        </w:tc>
        <w:tc>
          <w:tcPr>
            <w:tcW w:w="755" w:type="dxa"/>
          </w:tcPr>
          <w:p w14:paraId="36F004B2">
            <w:pPr>
              <w:widowControl w:val="0"/>
              <w:spacing w:line="480" w:lineRule="auto"/>
              <w:jc w:val="both"/>
              <w:outlineLvl w:val="0"/>
              <w:rPr>
                <w:rFonts w:ascii="Arial" w:hAnsi="Arial" w:eastAsia="黑体" w:cs="Times New Roman"/>
                <w:color w:val="000000" w:themeColor="text1"/>
                <w:sz w:val="21"/>
                <w:szCs w:val="21"/>
                <w14:textFill>
                  <w14:solidFill>
                    <w14:schemeClr w14:val="tx1"/>
                  </w14:solidFill>
                </w14:textFill>
              </w:rPr>
            </w:pPr>
            <w:r>
              <w:rPr>
                <w:rFonts w:hint="eastAsia" w:ascii="Arial" w:hAnsi="Arial" w:eastAsia="黑体" w:cs="Times New Roman"/>
                <w:color w:val="000000" w:themeColor="text1"/>
                <w:sz w:val="21"/>
                <w:szCs w:val="21"/>
                <w14:textFill>
                  <w14:solidFill>
                    <w14:schemeClr w14:val="tx1"/>
                  </w14:solidFill>
                </w14:textFill>
              </w:rPr>
              <w:t>2</w:t>
            </w:r>
          </w:p>
        </w:tc>
        <w:tc>
          <w:tcPr>
            <w:tcW w:w="783" w:type="dxa"/>
            <w:tcMar>
              <w:top w:w="57" w:type="dxa"/>
              <w:left w:w="85" w:type="dxa"/>
              <w:bottom w:w="57" w:type="dxa"/>
              <w:right w:w="85" w:type="dxa"/>
            </w:tcMar>
            <w:vAlign w:val="center"/>
          </w:tcPr>
          <w:p w14:paraId="30F1036C">
            <w:pPr>
              <w:widowControl w:val="0"/>
              <w:spacing w:line="480" w:lineRule="auto"/>
              <w:jc w:val="both"/>
              <w:outlineLvl w:val="0"/>
              <w:rPr>
                <w:rFonts w:ascii="Arial" w:hAnsi="Arial" w:eastAsia="黑体" w:cs="Times New Roman"/>
                <w:color w:val="000000" w:themeColor="text1"/>
                <w:sz w:val="21"/>
                <w:szCs w:val="21"/>
                <w14:textFill>
                  <w14:solidFill>
                    <w14:schemeClr w14:val="tx1"/>
                  </w14:solidFill>
                </w14:textFill>
              </w:rPr>
            </w:pPr>
            <w:r>
              <w:rPr>
                <w:rFonts w:ascii="Arial" w:hAnsi="Arial" w:eastAsia="黑体" w:cs="Times New Roman"/>
                <w:color w:val="000000" w:themeColor="text1"/>
                <w:sz w:val="21"/>
                <w:szCs w:val="21"/>
                <w14:textFill>
                  <w14:solidFill>
                    <w14:schemeClr w14:val="tx1"/>
                  </w14:solidFill>
                </w14:textFill>
              </w:rPr>
              <w:t>3</w:t>
            </w:r>
          </w:p>
        </w:tc>
        <w:tc>
          <w:tcPr>
            <w:tcW w:w="903" w:type="dxa"/>
            <w:tcMar>
              <w:top w:w="57" w:type="dxa"/>
              <w:left w:w="85" w:type="dxa"/>
              <w:bottom w:w="57" w:type="dxa"/>
              <w:right w:w="85" w:type="dxa"/>
            </w:tcMar>
            <w:vAlign w:val="center"/>
          </w:tcPr>
          <w:p w14:paraId="291D0926">
            <w:pPr>
              <w:widowControl w:val="0"/>
              <w:spacing w:line="480" w:lineRule="auto"/>
              <w:jc w:val="both"/>
              <w:outlineLvl w:val="0"/>
              <w:rPr>
                <w:rFonts w:ascii="Arial" w:hAnsi="Arial" w:eastAsia="黑体" w:cs="Times New Roman"/>
                <w:color w:val="000000" w:themeColor="text1"/>
                <w:sz w:val="21"/>
                <w:szCs w:val="21"/>
                <w14:textFill>
                  <w14:solidFill>
                    <w14:schemeClr w14:val="tx1"/>
                  </w14:solidFill>
                </w14:textFill>
              </w:rPr>
            </w:pPr>
            <w:r>
              <w:rPr>
                <w:rFonts w:ascii="Arial" w:hAnsi="Arial" w:eastAsia="黑体" w:cs="Times New Roman"/>
                <w:color w:val="000000" w:themeColor="text1"/>
                <w:sz w:val="21"/>
                <w:szCs w:val="21"/>
                <w14:textFill>
                  <w14:solidFill>
                    <w14:schemeClr w14:val="tx1"/>
                  </w14:solidFill>
                </w14:textFill>
              </w:rPr>
              <w:t>4</w:t>
            </w:r>
          </w:p>
        </w:tc>
        <w:tc>
          <w:tcPr>
            <w:tcW w:w="842" w:type="dxa"/>
            <w:tcMar>
              <w:top w:w="57" w:type="dxa"/>
              <w:left w:w="85" w:type="dxa"/>
              <w:bottom w:w="57" w:type="dxa"/>
              <w:right w:w="85" w:type="dxa"/>
            </w:tcMar>
            <w:vAlign w:val="center"/>
          </w:tcPr>
          <w:p w14:paraId="59F4B226">
            <w:pPr>
              <w:widowControl w:val="0"/>
              <w:spacing w:line="480" w:lineRule="auto"/>
              <w:jc w:val="both"/>
              <w:outlineLvl w:val="0"/>
              <w:rPr>
                <w:rFonts w:ascii="Arial" w:hAnsi="Arial" w:eastAsia="黑体" w:cs="Times New Roman"/>
                <w:color w:val="000000" w:themeColor="text1"/>
                <w:sz w:val="21"/>
                <w:szCs w:val="21"/>
                <w14:textFill>
                  <w14:solidFill>
                    <w14:schemeClr w14:val="tx1"/>
                  </w14:solidFill>
                </w14:textFill>
              </w:rPr>
            </w:pPr>
            <w:r>
              <w:rPr>
                <w:rFonts w:ascii="Arial" w:hAnsi="Arial" w:eastAsia="黑体" w:cs="Times New Roman"/>
                <w:color w:val="000000" w:themeColor="text1"/>
                <w:sz w:val="21"/>
                <w:szCs w:val="21"/>
                <w14:textFill>
                  <w14:solidFill>
                    <w14:schemeClr w14:val="tx1"/>
                  </w14:solidFill>
                </w14:textFill>
              </w:rPr>
              <w:t>5</w:t>
            </w:r>
          </w:p>
        </w:tc>
        <w:tc>
          <w:tcPr>
            <w:tcW w:w="685" w:type="dxa"/>
            <w:vMerge w:val="continue"/>
            <w:tcBorders>
              <w:right w:val="single" w:color="auto" w:sz="12" w:space="0"/>
            </w:tcBorders>
            <w:tcMar>
              <w:top w:w="57" w:type="dxa"/>
              <w:left w:w="85" w:type="dxa"/>
              <w:bottom w:w="57" w:type="dxa"/>
              <w:right w:w="85" w:type="dxa"/>
            </w:tcMar>
          </w:tcPr>
          <w:p w14:paraId="1B633040">
            <w:pPr>
              <w:widowControl w:val="0"/>
              <w:spacing w:line="480" w:lineRule="auto"/>
              <w:jc w:val="both"/>
              <w:outlineLvl w:val="0"/>
              <w:rPr>
                <w:rFonts w:ascii="Arial" w:hAnsi="Arial" w:eastAsia="黑体" w:cs="Times New Roman"/>
                <w:color w:val="000000" w:themeColor="text1"/>
                <w:sz w:val="28"/>
                <w:szCs w:val="21"/>
                <w14:textFill>
                  <w14:solidFill>
                    <w14:schemeClr w14:val="tx1"/>
                  </w14:solidFill>
                </w14:textFill>
              </w:rPr>
            </w:pPr>
          </w:p>
        </w:tc>
      </w:tr>
      <w:tr w14:paraId="0ADB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tcMar>
              <w:top w:w="57" w:type="dxa"/>
              <w:left w:w="85" w:type="dxa"/>
              <w:bottom w:w="57" w:type="dxa"/>
              <w:right w:w="85" w:type="dxa"/>
            </w:tcMar>
            <w:vAlign w:val="center"/>
          </w:tcPr>
          <w:p w14:paraId="50A1B44C">
            <w:pPr>
              <w:widowControl w:val="0"/>
              <w:jc w:val="both"/>
              <w:rPr>
                <w:rFonts w:ascii="Arial" w:hAnsi="Arial" w:cs="Arial"/>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X1</w:t>
            </w:r>
          </w:p>
        </w:tc>
        <w:tc>
          <w:tcPr>
            <w:tcW w:w="704" w:type="dxa"/>
            <w:tcMar>
              <w:top w:w="57" w:type="dxa"/>
              <w:left w:w="85" w:type="dxa"/>
              <w:bottom w:w="57" w:type="dxa"/>
              <w:right w:w="85" w:type="dxa"/>
            </w:tcMar>
            <w:vAlign w:val="center"/>
          </w:tcPr>
          <w:p w14:paraId="668EA139">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189" w:type="dxa"/>
            <w:tcBorders>
              <w:right w:val="double" w:color="auto" w:sz="4" w:space="0"/>
            </w:tcBorders>
            <w:tcMar>
              <w:top w:w="57" w:type="dxa"/>
              <w:left w:w="85" w:type="dxa"/>
              <w:bottom w:w="57" w:type="dxa"/>
              <w:right w:w="85" w:type="dxa"/>
            </w:tcMar>
            <w:vAlign w:val="center"/>
          </w:tcPr>
          <w:p w14:paraId="08CBEAD7">
            <w:pPr>
              <w:widowControl w:val="0"/>
              <w:jc w:val="both"/>
              <w:rPr>
                <w:rFonts w:ascii="Times New Roman" w:hAnsi="Times New Roman" w:cs="Times New Roman"/>
                <w:sz w:val="21"/>
                <w:szCs w:val="21"/>
              </w:rPr>
            </w:pPr>
            <w:r>
              <w:rPr>
                <w:rFonts w:ascii="Times New Roman" w:hAnsi="Times New Roman" w:cs="Times New Roman"/>
                <w:sz w:val="21"/>
                <w:szCs w:val="21"/>
              </w:rPr>
              <w:t>辩论句法练习</w:t>
            </w:r>
          </w:p>
        </w:tc>
        <w:tc>
          <w:tcPr>
            <w:tcW w:w="839" w:type="dxa"/>
            <w:tcBorders>
              <w:left w:val="double" w:color="auto" w:sz="4" w:space="0"/>
            </w:tcBorders>
            <w:tcMar>
              <w:top w:w="57" w:type="dxa"/>
              <w:left w:w="85" w:type="dxa"/>
              <w:bottom w:w="57" w:type="dxa"/>
              <w:right w:w="85" w:type="dxa"/>
            </w:tcMar>
            <w:vAlign w:val="center"/>
          </w:tcPr>
          <w:p w14:paraId="11FCF97F">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755" w:type="dxa"/>
            <w:vAlign w:val="center"/>
          </w:tcPr>
          <w:p w14:paraId="30FC4A3D">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783" w:type="dxa"/>
            <w:tcMar>
              <w:top w:w="57" w:type="dxa"/>
              <w:left w:w="85" w:type="dxa"/>
              <w:bottom w:w="57" w:type="dxa"/>
              <w:right w:w="85" w:type="dxa"/>
            </w:tcMar>
            <w:vAlign w:val="center"/>
          </w:tcPr>
          <w:p w14:paraId="59B8DC7A">
            <w:pPr>
              <w:widowControl w:val="0"/>
              <w:jc w:val="center"/>
              <w:rPr>
                <w:rFonts w:ascii="Times New Roman" w:hAnsi="Times New Roman" w:cs="Times New Roman"/>
                <w:sz w:val="21"/>
                <w:szCs w:val="21"/>
              </w:rPr>
            </w:pPr>
          </w:p>
        </w:tc>
        <w:tc>
          <w:tcPr>
            <w:tcW w:w="903" w:type="dxa"/>
            <w:tcMar>
              <w:top w:w="57" w:type="dxa"/>
              <w:left w:w="85" w:type="dxa"/>
              <w:bottom w:w="57" w:type="dxa"/>
              <w:right w:w="85" w:type="dxa"/>
            </w:tcMar>
            <w:vAlign w:val="center"/>
          </w:tcPr>
          <w:p w14:paraId="23EF17C1">
            <w:pPr>
              <w:widowControl w:val="0"/>
              <w:jc w:val="center"/>
              <w:rPr>
                <w:rFonts w:ascii="Times New Roman" w:hAnsi="Times New Roman" w:cs="Times New Roman"/>
                <w:sz w:val="21"/>
                <w:szCs w:val="21"/>
              </w:rPr>
            </w:pPr>
            <w:r>
              <w:rPr>
                <w:rFonts w:hint="eastAsia" w:ascii="Times New Roman" w:hAnsi="Times New Roman" w:cs="Times New Roman"/>
                <w:sz w:val="21"/>
                <w:szCs w:val="21"/>
              </w:rPr>
              <w:t>30</w:t>
            </w:r>
          </w:p>
        </w:tc>
        <w:tc>
          <w:tcPr>
            <w:tcW w:w="842" w:type="dxa"/>
            <w:tcMar>
              <w:top w:w="57" w:type="dxa"/>
              <w:left w:w="85" w:type="dxa"/>
              <w:bottom w:w="57" w:type="dxa"/>
              <w:right w:w="85" w:type="dxa"/>
            </w:tcMar>
            <w:vAlign w:val="center"/>
          </w:tcPr>
          <w:p w14:paraId="266EFC04">
            <w:pPr>
              <w:widowControl w:val="0"/>
              <w:jc w:val="center"/>
              <w:rPr>
                <w:rFonts w:ascii="Times New Roman" w:hAnsi="Times New Roman" w:cs="Times New Roman"/>
                <w:sz w:val="21"/>
                <w:szCs w:val="21"/>
              </w:rPr>
            </w:pPr>
            <w:r>
              <w:rPr>
                <w:rFonts w:hint="eastAsia" w:ascii="Times New Roman" w:hAnsi="Times New Roman" w:cs="Times New Roman"/>
                <w:sz w:val="21"/>
                <w:szCs w:val="21"/>
              </w:rPr>
              <w:t>30</w:t>
            </w:r>
          </w:p>
        </w:tc>
        <w:tc>
          <w:tcPr>
            <w:tcW w:w="685" w:type="dxa"/>
            <w:tcBorders>
              <w:right w:val="single" w:color="auto" w:sz="12" w:space="0"/>
            </w:tcBorders>
            <w:tcMar>
              <w:top w:w="57" w:type="dxa"/>
              <w:left w:w="85" w:type="dxa"/>
              <w:bottom w:w="57" w:type="dxa"/>
              <w:right w:w="85" w:type="dxa"/>
            </w:tcMar>
            <w:vAlign w:val="center"/>
          </w:tcPr>
          <w:p w14:paraId="0AC6E213">
            <w:pPr>
              <w:widowControl w:val="0"/>
              <w:jc w:val="both"/>
              <w:rPr>
                <w:rFonts w:ascii="Times New Roman" w:hAnsi="Times New Roman" w:cs="Times New Roman"/>
                <w:sz w:val="21"/>
                <w:szCs w:val="21"/>
              </w:rPr>
            </w:pPr>
            <w:r>
              <w:rPr>
                <w:rFonts w:ascii="Times New Roman" w:hAnsi="Times New Roman" w:cs="Times New Roman"/>
                <w:sz w:val="21"/>
                <w:szCs w:val="21"/>
              </w:rPr>
              <w:t>100</w:t>
            </w:r>
          </w:p>
        </w:tc>
      </w:tr>
      <w:tr w14:paraId="1151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tcMar>
              <w:top w:w="57" w:type="dxa"/>
              <w:left w:w="85" w:type="dxa"/>
              <w:bottom w:w="57" w:type="dxa"/>
              <w:right w:w="85" w:type="dxa"/>
            </w:tcMar>
            <w:vAlign w:val="center"/>
          </w:tcPr>
          <w:p w14:paraId="273D0C67">
            <w:pPr>
              <w:widowControl w:val="0"/>
              <w:jc w:val="both"/>
              <w:rPr>
                <w:rFonts w:ascii="Arial" w:hAnsi="Arial" w:cs="Arial"/>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X2</w:t>
            </w:r>
          </w:p>
        </w:tc>
        <w:tc>
          <w:tcPr>
            <w:tcW w:w="704" w:type="dxa"/>
            <w:tcMar>
              <w:top w:w="57" w:type="dxa"/>
              <w:left w:w="85" w:type="dxa"/>
              <w:bottom w:w="57" w:type="dxa"/>
              <w:right w:w="85" w:type="dxa"/>
            </w:tcMar>
            <w:vAlign w:val="center"/>
          </w:tcPr>
          <w:p w14:paraId="6C11A0FC">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189" w:type="dxa"/>
            <w:tcBorders>
              <w:right w:val="double" w:color="auto" w:sz="4" w:space="0"/>
            </w:tcBorders>
            <w:tcMar>
              <w:top w:w="57" w:type="dxa"/>
              <w:left w:w="85" w:type="dxa"/>
              <w:bottom w:w="57" w:type="dxa"/>
              <w:right w:w="85" w:type="dxa"/>
            </w:tcMar>
            <w:vAlign w:val="center"/>
          </w:tcPr>
          <w:p w14:paraId="7B59CE04">
            <w:pPr>
              <w:widowControl w:val="0"/>
              <w:jc w:val="both"/>
              <w:rPr>
                <w:rFonts w:ascii="Times New Roman" w:hAnsi="Times New Roman" w:cs="Times New Roman"/>
                <w:sz w:val="21"/>
                <w:szCs w:val="21"/>
              </w:rPr>
            </w:pPr>
            <w:r>
              <w:rPr>
                <w:rFonts w:ascii="Times New Roman" w:hAnsi="Times New Roman" w:cs="Times New Roman"/>
                <w:sz w:val="21"/>
                <w:szCs w:val="21"/>
              </w:rPr>
              <w:t>论据收集展示</w:t>
            </w:r>
          </w:p>
        </w:tc>
        <w:tc>
          <w:tcPr>
            <w:tcW w:w="839" w:type="dxa"/>
            <w:tcBorders>
              <w:left w:val="double" w:color="auto" w:sz="4" w:space="0"/>
            </w:tcBorders>
            <w:tcMar>
              <w:top w:w="57" w:type="dxa"/>
              <w:left w:w="85" w:type="dxa"/>
              <w:bottom w:w="57" w:type="dxa"/>
              <w:right w:w="85" w:type="dxa"/>
            </w:tcMar>
            <w:vAlign w:val="center"/>
          </w:tcPr>
          <w:p w14:paraId="3F417400">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755" w:type="dxa"/>
            <w:vAlign w:val="center"/>
          </w:tcPr>
          <w:p w14:paraId="4D0C0A47">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783" w:type="dxa"/>
            <w:tcMar>
              <w:top w:w="57" w:type="dxa"/>
              <w:left w:w="85" w:type="dxa"/>
              <w:bottom w:w="57" w:type="dxa"/>
              <w:right w:w="85" w:type="dxa"/>
            </w:tcMar>
            <w:vAlign w:val="center"/>
          </w:tcPr>
          <w:p w14:paraId="61F31D4F">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903" w:type="dxa"/>
            <w:tcMar>
              <w:top w:w="57" w:type="dxa"/>
              <w:left w:w="85" w:type="dxa"/>
              <w:bottom w:w="57" w:type="dxa"/>
              <w:right w:w="85" w:type="dxa"/>
            </w:tcMar>
            <w:vAlign w:val="center"/>
          </w:tcPr>
          <w:p w14:paraId="46B83F88">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842" w:type="dxa"/>
            <w:tcMar>
              <w:top w:w="57" w:type="dxa"/>
              <w:left w:w="85" w:type="dxa"/>
              <w:bottom w:w="57" w:type="dxa"/>
              <w:right w:w="85" w:type="dxa"/>
            </w:tcMar>
            <w:vAlign w:val="center"/>
          </w:tcPr>
          <w:p w14:paraId="256A2A76">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85" w:type="dxa"/>
            <w:tcBorders>
              <w:right w:val="single" w:color="auto" w:sz="12" w:space="0"/>
            </w:tcBorders>
            <w:tcMar>
              <w:top w:w="57" w:type="dxa"/>
              <w:left w:w="85" w:type="dxa"/>
              <w:bottom w:w="57" w:type="dxa"/>
              <w:right w:w="85" w:type="dxa"/>
            </w:tcMar>
            <w:vAlign w:val="center"/>
          </w:tcPr>
          <w:p w14:paraId="74EBB37A">
            <w:pPr>
              <w:widowControl w:val="0"/>
              <w:jc w:val="both"/>
              <w:rPr>
                <w:rFonts w:ascii="Times New Roman" w:hAnsi="Times New Roman" w:cs="Times New Roman"/>
                <w:sz w:val="21"/>
                <w:szCs w:val="21"/>
              </w:rPr>
            </w:pPr>
            <w:r>
              <w:rPr>
                <w:rFonts w:ascii="Times New Roman" w:hAnsi="Times New Roman" w:cs="Times New Roman"/>
                <w:sz w:val="21"/>
                <w:szCs w:val="21"/>
              </w:rPr>
              <w:t>100</w:t>
            </w:r>
          </w:p>
        </w:tc>
      </w:tr>
      <w:tr w14:paraId="5A9A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tcMar>
              <w:top w:w="57" w:type="dxa"/>
              <w:left w:w="85" w:type="dxa"/>
              <w:bottom w:w="57" w:type="dxa"/>
              <w:right w:w="85" w:type="dxa"/>
            </w:tcMar>
            <w:vAlign w:val="center"/>
          </w:tcPr>
          <w:p w14:paraId="74651BE1">
            <w:pPr>
              <w:widowControl w:val="0"/>
              <w:jc w:val="both"/>
              <w:rPr>
                <w:rFonts w:ascii="Arial" w:hAnsi="Arial" w:cs="Arial"/>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X3</w:t>
            </w:r>
          </w:p>
        </w:tc>
        <w:tc>
          <w:tcPr>
            <w:tcW w:w="704" w:type="dxa"/>
            <w:tcMar>
              <w:top w:w="57" w:type="dxa"/>
              <w:left w:w="85" w:type="dxa"/>
              <w:bottom w:w="57" w:type="dxa"/>
              <w:right w:w="85" w:type="dxa"/>
            </w:tcMar>
            <w:vAlign w:val="center"/>
          </w:tcPr>
          <w:p w14:paraId="65EB7A47">
            <w:pPr>
              <w:widowControl w:val="0"/>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Times New Roman"/>
                <w:sz w:val="21"/>
                <w:szCs w:val="21"/>
              </w:rPr>
              <w:t>%</w:t>
            </w:r>
          </w:p>
        </w:tc>
        <w:tc>
          <w:tcPr>
            <w:tcW w:w="2189" w:type="dxa"/>
            <w:tcBorders>
              <w:right w:val="double" w:color="auto" w:sz="4" w:space="0"/>
            </w:tcBorders>
            <w:tcMar>
              <w:top w:w="57" w:type="dxa"/>
              <w:left w:w="85" w:type="dxa"/>
              <w:bottom w:w="57" w:type="dxa"/>
              <w:right w:w="85" w:type="dxa"/>
            </w:tcMar>
            <w:vAlign w:val="center"/>
          </w:tcPr>
          <w:p w14:paraId="15BED33B">
            <w:pPr>
              <w:widowControl w:val="0"/>
              <w:jc w:val="both"/>
              <w:rPr>
                <w:rFonts w:ascii="Times New Roman" w:hAnsi="Times New Roman" w:cs="Times New Roman"/>
                <w:sz w:val="21"/>
                <w:szCs w:val="21"/>
              </w:rPr>
            </w:pPr>
            <w:r>
              <w:rPr>
                <w:rFonts w:ascii="Times New Roman" w:hAnsi="Times New Roman" w:cs="Times New Roman"/>
                <w:sz w:val="21"/>
                <w:szCs w:val="21"/>
              </w:rPr>
              <w:t>流程表单撰写</w:t>
            </w:r>
          </w:p>
        </w:tc>
        <w:tc>
          <w:tcPr>
            <w:tcW w:w="839" w:type="dxa"/>
            <w:tcBorders>
              <w:left w:val="double" w:color="auto" w:sz="4" w:space="0"/>
            </w:tcBorders>
            <w:tcMar>
              <w:top w:w="57" w:type="dxa"/>
              <w:left w:w="85" w:type="dxa"/>
              <w:bottom w:w="57" w:type="dxa"/>
              <w:right w:w="85" w:type="dxa"/>
            </w:tcMar>
            <w:vAlign w:val="center"/>
          </w:tcPr>
          <w:p w14:paraId="54BA4551">
            <w:pPr>
              <w:widowControl w:val="0"/>
              <w:jc w:val="center"/>
              <w:rPr>
                <w:rFonts w:ascii="Times New Roman" w:hAnsi="Times New Roman" w:cs="Times New Roman"/>
                <w:sz w:val="21"/>
                <w:szCs w:val="21"/>
              </w:rPr>
            </w:pPr>
          </w:p>
        </w:tc>
        <w:tc>
          <w:tcPr>
            <w:tcW w:w="755" w:type="dxa"/>
            <w:vAlign w:val="center"/>
          </w:tcPr>
          <w:p w14:paraId="090207D3">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783" w:type="dxa"/>
            <w:tcMar>
              <w:top w:w="57" w:type="dxa"/>
              <w:left w:w="85" w:type="dxa"/>
              <w:bottom w:w="57" w:type="dxa"/>
              <w:right w:w="85" w:type="dxa"/>
            </w:tcMar>
            <w:vAlign w:val="center"/>
          </w:tcPr>
          <w:p w14:paraId="2DF2E380">
            <w:pPr>
              <w:widowControl w:val="0"/>
              <w:jc w:val="center"/>
              <w:rPr>
                <w:rFonts w:ascii="Times New Roman" w:hAnsi="Times New Roman" w:cs="Times New Roman"/>
                <w:sz w:val="21"/>
                <w:szCs w:val="21"/>
              </w:rPr>
            </w:pPr>
            <w:r>
              <w:rPr>
                <w:rFonts w:hint="eastAsia" w:ascii="Times New Roman" w:hAnsi="Times New Roman" w:cs="Times New Roman"/>
                <w:sz w:val="21"/>
                <w:szCs w:val="21"/>
              </w:rPr>
              <w:t>30</w:t>
            </w:r>
          </w:p>
        </w:tc>
        <w:tc>
          <w:tcPr>
            <w:tcW w:w="903" w:type="dxa"/>
            <w:tcMar>
              <w:top w:w="57" w:type="dxa"/>
              <w:left w:w="85" w:type="dxa"/>
              <w:bottom w:w="57" w:type="dxa"/>
              <w:right w:w="85" w:type="dxa"/>
            </w:tcMar>
            <w:vAlign w:val="center"/>
          </w:tcPr>
          <w:p w14:paraId="5A0E61AB">
            <w:pPr>
              <w:widowControl w:val="0"/>
              <w:jc w:val="center"/>
              <w:rPr>
                <w:rFonts w:ascii="Times New Roman" w:hAnsi="Times New Roman" w:cs="Times New Roman"/>
                <w:sz w:val="21"/>
                <w:szCs w:val="21"/>
              </w:rPr>
            </w:pPr>
            <w:r>
              <w:rPr>
                <w:rFonts w:hint="eastAsia" w:ascii="Times New Roman" w:hAnsi="Times New Roman" w:cs="Times New Roman"/>
                <w:sz w:val="21"/>
                <w:szCs w:val="21"/>
              </w:rPr>
              <w:t>30</w:t>
            </w:r>
          </w:p>
        </w:tc>
        <w:tc>
          <w:tcPr>
            <w:tcW w:w="842" w:type="dxa"/>
            <w:tcMar>
              <w:top w:w="57" w:type="dxa"/>
              <w:left w:w="85" w:type="dxa"/>
              <w:bottom w:w="57" w:type="dxa"/>
              <w:right w:w="85" w:type="dxa"/>
            </w:tcMar>
            <w:vAlign w:val="center"/>
          </w:tcPr>
          <w:p w14:paraId="74C5B17D">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85" w:type="dxa"/>
            <w:tcBorders>
              <w:right w:val="single" w:color="auto" w:sz="12" w:space="0"/>
            </w:tcBorders>
            <w:tcMar>
              <w:top w:w="57" w:type="dxa"/>
              <w:left w:w="85" w:type="dxa"/>
              <w:bottom w:w="57" w:type="dxa"/>
              <w:right w:w="85" w:type="dxa"/>
            </w:tcMar>
            <w:vAlign w:val="center"/>
          </w:tcPr>
          <w:p w14:paraId="5F36F67A">
            <w:pPr>
              <w:widowControl w:val="0"/>
              <w:jc w:val="both"/>
              <w:rPr>
                <w:rFonts w:ascii="Times New Roman" w:hAnsi="Times New Roman" w:cs="Times New Roman"/>
                <w:sz w:val="21"/>
                <w:szCs w:val="21"/>
              </w:rPr>
            </w:pPr>
            <w:r>
              <w:rPr>
                <w:rFonts w:ascii="Times New Roman" w:hAnsi="Times New Roman" w:cs="Times New Roman"/>
                <w:sz w:val="21"/>
                <w:szCs w:val="21"/>
              </w:rPr>
              <w:t>100</w:t>
            </w:r>
          </w:p>
        </w:tc>
      </w:tr>
      <w:tr w14:paraId="169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left w:val="single" w:color="auto" w:sz="12" w:space="0"/>
            </w:tcBorders>
            <w:tcMar>
              <w:top w:w="57" w:type="dxa"/>
              <w:left w:w="85" w:type="dxa"/>
              <w:bottom w:w="57" w:type="dxa"/>
              <w:right w:w="85" w:type="dxa"/>
            </w:tcMar>
            <w:vAlign w:val="center"/>
          </w:tcPr>
          <w:p w14:paraId="78FBFF78">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X4</w:t>
            </w:r>
          </w:p>
        </w:tc>
        <w:tc>
          <w:tcPr>
            <w:tcW w:w="704" w:type="dxa"/>
            <w:tcMar>
              <w:top w:w="57" w:type="dxa"/>
              <w:left w:w="85" w:type="dxa"/>
              <w:bottom w:w="57" w:type="dxa"/>
              <w:right w:w="85" w:type="dxa"/>
            </w:tcMar>
            <w:vAlign w:val="center"/>
          </w:tcPr>
          <w:p w14:paraId="7684A77C">
            <w:pPr>
              <w:widowControl w:val="0"/>
              <w:jc w:val="both"/>
              <w:rPr>
                <w:rFonts w:ascii="Times New Roman" w:hAnsi="Times New Roman" w:cs="Times New Roman"/>
                <w:sz w:val="21"/>
                <w:szCs w:val="21"/>
              </w:rPr>
            </w:pPr>
            <w:r>
              <w:rPr>
                <w:rFonts w:ascii="Times New Roman" w:hAnsi="Times New Roman" w:cs="Times New Roman"/>
                <w:sz w:val="21"/>
                <w:szCs w:val="21"/>
              </w:rPr>
              <w:t>55%</w:t>
            </w:r>
          </w:p>
        </w:tc>
        <w:tc>
          <w:tcPr>
            <w:tcW w:w="2189" w:type="dxa"/>
            <w:tcBorders>
              <w:right w:val="double" w:color="auto" w:sz="4" w:space="0"/>
            </w:tcBorders>
            <w:tcMar>
              <w:top w:w="57" w:type="dxa"/>
              <w:left w:w="85" w:type="dxa"/>
              <w:bottom w:w="57" w:type="dxa"/>
              <w:right w:w="85" w:type="dxa"/>
            </w:tcMar>
            <w:vAlign w:val="center"/>
          </w:tcPr>
          <w:p w14:paraId="5A1A3ADA">
            <w:pPr>
              <w:widowControl w:val="0"/>
              <w:jc w:val="both"/>
              <w:rPr>
                <w:rFonts w:ascii="Times New Roman" w:hAnsi="Times New Roman" w:cs="Times New Roman"/>
                <w:sz w:val="21"/>
                <w:szCs w:val="21"/>
              </w:rPr>
            </w:pPr>
            <w:r>
              <w:rPr>
                <w:rFonts w:hint="eastAsia" w:ascii="Times New Roman" w:hAnsi="Times New Roman" w:cs="Times New Roman"/>
                <w:sz w:val="21"/>
                <w:szCs w:val="21"/>
              </w:rPr>
              <w:t>小组现场辩论</w:t>
            </w:r>
          </w:p>
        </w:tc>
        <w:tc>
          <w:tcPr>
            <w:tcW w:w="839" w:type="dxa"/>
            <w:tcBorders>
              <w:left w:val="double" w:color="auto" w:sz="4" w:space="0"/>
            </w:tcBorders>
            <w:tcMar>
              <w:top w:w="57" w:type="dxa"/>
              <w:left w:w="85" w:type="dxa"/>
              <w:bottom w:w="57" w:type="dxa"/>
              <w:right w:w="85" w:type="dxa"/>
            </w:tcMar>
            <w:vAlign w:val="center"/>
          </w:tcPr>
          <w:p w14:paraId="3B50B24F">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755" w:type="dxa"/>
            <w:vAlign w:val="center"/>
          </w:tcPr>
          <w:p w14:paraId="21D556DE">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783" w:type="dxa"/>
            <w:tcMar>
              <w:top w:w="57" w:type="dxa"/>
              <w:left w:w="85" w:type="dxa"/>
              <w:bottom w:w="57" w:type="dxa"/>
              <w:right w:w="85" w:type="dxa"/>
            </w:tcMar>
            <w:vAlign w:val="center"/>
          </w:tcPr>
          <w:p w14:paraId="10725825">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903" w:type="dxa"/>
            <w:tcMar>
              <w:top w:w="57" w:type="dxa"/>
              <w:left w:w="85" w:type="dxa"/>
              <w:bottom w:w="57" w:type="dxa"/>
              <w:right w:w="85" w:type="dxa"/>
            </w:tcMar>
            <w:vAlign w:val="center"/>
          </w:tcPr>
          <w:p w14:paraId="0DAC4096">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842" w:type="dxa"/>
            <w:tcMar>
              <w:top w:w="57" w:type="dxa"/>
              <w:left w:w="85" w:type="dxa"/>
              <w:bottom w:w="57" w:type="dxa"/>
              <w:right w:w="85" w:type="dxa"/>
            </w:tcMar>
            <w:vAlign w:val="center"/>
          </w:tcPr>
          <w:p w14:paraId="2436765D">
            <w:pPr>
              <w:widowControl w:val="0"/>
              <w:jc w:val="center"/>
              <w:rPr>
                <w:rFonts w:ascii="Times New Roman" w:hAnsi="Times New Roman" w:cs="Times New Roman"/>
                <w:sz w:val="21"/>
                <w:szCs w:val="21"/>
              </w:rPr>
            </w:pPr>
            <w:r>
              <w:rPr>
                <w:rFonts w:hint="eastAsia" w:ascii="Times New Roman" w:hAnsi="Times New Roman" w:cs="Times New Roman"/>
                <w:sz w:val="21"/>
                <w:szCs w:val="21"/>
              </w:rPr>
              <w:t>20</w:t>
            </w:r>
          </w:p>
        </w:tc>
        <w:tc>
          <w:tcPr>
            <w:tcW w:w="685" w:type="dxa"/>
            <w:tcBorders>
              <w:right w:val="single" w:color="auto" w:sz="12" w:space="0"/>
            </w:tcBorders>
            <w:tcMar>
              <w:top w:w="57" w:type="dxa"/>
              <w:left w:w="85" w:type="dxa"/>
              <w:bottom w:w="57" w:type="dxa"/>
              <w:right w:w="85" w:type="dxa"/>
            </w:tcMar>
            <w:vAlign w:val="center"/>
          </w:tcPr>
          <w:p w14:paraId="58678648">
            <w:pPr>
              <w:widowControl w:val="0"/>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00</w:t>
            </w:r>
          </w:p>
        </w:tc>
      </w:tr>
    </w:tbl>
    <w:p w14:paraId="45F23827">
      <w:pPr>
        <w:pStyle w:val="18"/>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4EFE">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132531259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B15A821">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uGS&#10;mdQAAAAJAQAADwAAAAAAAAABACAAAAAiAAAAZHJzL2Rvd25yZXYueG1sUEsBAhQAFAAAAAgAh07i&#10;QAL1yWlfAgAApgQAAA4AAAAAAAAAAQAgAAAAIwEAAGRycy9lMm9Eb2MueG1sUEsFBgAAAAAGAAYA&#10;WQEAAPQFAAAAAA==&#10;">
              <v:fill on="t" focussize="0,0"/>
              <v:stroke on="f" weight="0.5pt"/>
              <v:imagedata o:title=""/>
              <o:lock v:ext="edit" aspectratio="f"/>
              <v:textbox>
                <w:txbxContent>
                  <w:p w14:paraId="5B15A821">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6130"/>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52F75"/>
    <w:rsid w:val="00163A48"/>
    <w:rsid w:val="00164E36"/>
    <w:rsid w:val="00177BC5"/>
    <w:rsid w:val="00183AA1"/>
    <w:rsid w:val="00190E3F"/>
    <w:rsid w:val="001919D2"/>
    <w:rsid w:val="001A135C"/>
    <w:rsid w:val="001A531A"/>
    <w:rsid w:val="001B0D20"/>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45E59"/>
    <w:rsid w:val="002477E4"/>
    <w:rsid w:val="00253AC8"/>
    <w:rsid w:val="00256B39"/>
    <w:rsid w:val="0025768A"/>
    <w:rsid w:val="0026033C"/>
    <w:rsid w:val="0027339A"/>
    <w:rsid w:val="00274E82"/>
    <w:rsid w:val="002757AB"/>
    <w:rsid w:val="0027777C"/>
    <w:rsid w:val="00277FE7"/>
    <w:rsid w:val="002877FA"/>
    <w:rsid w:val="00290962"/>
    <w:rsid w:val="002A4649"/>
    <w:rsid w:val="002A7227"/>
    <w:rsid w:val="002B0172"/>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60F6"/>
    <w:rsid w:val="00370184"/>
    <w:rsid w:val="00373C8A"/>
    <w:rsid w:val="00377C10"/>
    <w:rsid w:val="00385D41"/>
    <w:rsid w:val="003861BA"/>
    <w:rsid w:val="003A0341"/>
    <w:rsid w:val="003A1680"/>
    <w:rsid w:val="003A373C"/>
    <w:rsid w:val="003A5874"/>
    <w:rsid w:val="003A79BB"/>
    <w:rsid w:val="003B1258"/>
    <w:rsid w:val="003C61A5"/>
    <w:rsid w:val="003D1968"/>
    <w:rsid w:val="003D4994"/>
    <w:rsid w:val="003D7E4C"/>
    <w:rsid w:val="003E02AE"/>
    <w:rsid w:val="003E10A5"/>
    <w:rsid w:val="003E601E"/>
    <w:rsid w:val="003E7D72"/>
    <w:rsid w:val="003F3923"/>
    <w:rsid w:val="003F43F6"/>
    <w:rsid w:val="0040433E"/>
    <w:rsid w:val="0040726A"/>
    <w:rsid w:val="004100B0"/>
    <w:rsid w:val="0041267F"/>
    <w:rsid w:val="0042260E"/>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3244"/>
    <w:rsid w:val="004D4FB3"/>
    <w:rsid w:val="004D75A6"/>
    <w:rsid w:val="004E3456"/>
    <w:rsid w:val="004E5A9A"/>
    <w:rsid w:val="004F3DF0"/>
    <w:rsid w:val="005074E1"/>
    <w:rsid w:val="005079DE"/>
    <w:rsid w:val="005126F1"/>
    <w:rsid w:val="0051358A"/>
    <w:rsid w:val="00513F2F"/>
    <w:rsid w:val="0051612A"/>
    <w:rsid w:val="00517176"/>
    <w:rsid w:val="00524300"/>
    <w:rsid w:val="00532E23"/>
    <w:rsid w:val="005353E6"/>
    <w:rsid w:val="00541F72"/>
    <w:rsid w:val="00542388"/>
    <w:rsid w:val="00544523"/>
    <w:rsid w:val="00546549"/>
    <w:rsid w:val="005467DC"/>
    <w:rsid w:val="00546A82"/>
    <w:rsid w:val="00547C51"/>
    <w:rsid w:val="00551335"/>
    <w:rsid w:val="005519BB"/>
    <w:rsid w:val="005523FD"/>
    <w:rsid w:val="00553D03"/>
    <w:rsid w:val="00553F50"/>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8469B"/>
    <w:rsid w:val="00691B24"/>
    <w:rsid w:val="00695B93"/>
    <w:rsid w:val="00697C16"/>
    <w:rsid w:val="006A5A89"/>
    <w:rsid w:val="006B3BB9"/>
    <w:rsid w:val="006B48AC"/>
    <w:rsid w:val="006B5977"/>
    <w:rsid w:val="006C526D"/>
    <w:rsid w:val="006D1B59"/>
    <w:rsid w:val="006D2F9C"/>
    <w:rsid w:val="006E5CA9"/>
    <w:rsid w:val="006E5E98"/>
    <w:rsid w:val="006F3151"/>
    <w:rsid w:val="007056DE"/>
    <w:rsid w:val="00706121"/>
    <w:rsid w:val="00710B6B"/>
    <w:rsid w:val="00712A2C"/>
    <w:rsid w:val="00712E84"/>
    <w:rsid w:val="00714914"/>
    <w:rsid w:val="00717601"/>
    <w:rsid w:val="007208D6"/>
    <w:rsid w:val="00726786"/>
    <w:rsid w:val="007278FD"/>
    <w:rsid w:val="00732152"/>
    <w:rsid w:val="00733729"/>
    <w:rsid w:val="00742E7A"/>
    <w:rsid w:val="0074424F"/>
    <w:rsid w:val="00770BA9"/>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0886"/>
    <w:rsid w:val="008C2AE6"/>
    <w:rsid w:val="008C2DE8"/>
    <w:rsid w:val="008C5113"/>
    <w:rsid w:val="008C5B8A"/>
    <w:rsid w:val="008D1272"/>
    <w:rsid w:val="008D3D5F"/>
    <w:rsid w:val="008D4E81"/>
    <w:rsid w:val="008E0F55"/>
    <w:rsid w:val="008F2339"/>
    <w:rsid w:val="008F253F"/>
    <w:rsid w:val="00900019"/>
    <w:rsid w:val="009147D6"/>
    <w:rsid w:val="00925F8C"/>
    <w:rsid w:val="00927324"/>
    <w:rsid w:val="00932ED7"/>
    <w:rsid w:val="00941B89"/>
    <w:rsid w:val="00941DEA"/>
    <w:rsid w:val="00966F69"/>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C5F9F"/>
    <w:rsid w:val="009D192B"/>
    <w:rsid w:val="009D1936"/>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E96"/>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B2E8F"/>
    <w:rsid w:val="00AC40F1"/>
    <w:rsid w:val="00AC4C45"/>
    <w:rsid w:val="00AD1085"/>
    <w:rsid w:val="00AD1F43"/>
    <w:rsid w:val="00AD5B40"/>
    <w:rsid w:val="00AD71BD"/>
    <w:rsid w:val="00AE69E9"/>
    <w:rsid w:val="00AF10B9"/>
    <w:rsid w:val="00AF30B9"/>
    <w:rsid w:val="00AF43DF"/>
    <w:rsid w:val="00AF67A4"/>
    <w:rsid w:val="00AF7510"/>
    <w:rsid w:val="00B12D31"/>
    <w:rsid w:val="00B15F6E"/>
    <w:rsid w:val="00B21BEE"/>
    <w:rsid w:val="00B23284"/>
    <w:rsid w:val="00B361E7"/>
    <w:rsid w:val="00B37D43"/>
    <w:rsid w:val="00B46F21"/>
    <w:rsid w:val="00B511A5"/>
    <w:rsid w:val="00B51CDE"/>
    <w:rsid w:val="00B54FE3"/>
    <w:rsid w:val="00B56541"/>
    <w:rsid w:val="00B605ED"/>
    <w:rsid w:val="00B7020D"/>
    <w:rsid w:val="00B71F97"/>
    <w:rsid w:val="00B72538"/>
    <w:rsid w:val="00B736A7"/>
    <w:rsid w:val="00B7651F"/>
    <w:rsid w:val="00B94A16"/>
    <w:rsid w:val="00BA6044"/>
    <w:rsid w:val="00BC20A8"/>
    <w:rsid w:val="00BC2625"/>
    <w:rsid w:val="00BC3200"/>
    <w:rsid w:val="00BC338A"/>
    <w:rsid w:val="00BD7AB0"/>
    <w:rsid w:val="00BD7E8C"/>
    <w:rsid w:val="00BE00E7"/>
    <w:rsid w:val="00BF3C20"/>
    <w:rsid w:val="00C011BC"/>
    <w:rsid w:val="00C03DBA"/>
    <w:rsid w:val="00C112E7"/>
    <w:rsid w:val="00C11CD4"/>
    <w:rsid w:val="00C14DBC"/>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764D8"/>
    <w:rsid w:val="00C81564"/>
    <w:rsid w:val="00C9080C"/>
    <w:rsid w:val="00C92A3A"/>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2792A"/>
    <w:rsid w:val="00D3328B"/>
    <w:rsid w:val="00D44860"/>
    <w:rsid w:val="00D47689"/>
    <w:rsid w:val="00D50C42"/>
    <w:rsid w:val="00D57CF5"/>
    <w:rsid w:val="00D612BC"/>
    <w:rsid w:val="00D62F98"/>
    <w:rsid w:val="00D66FD6"/>
    <w:rsid w:val="00D8285B"/>
    <w:rsid w:val="00D86619"/>
    <w:rsid w:val="00D93E7C"/>
    <w:rsid w:val="00DB2BE6"/>
    <w:rsid w:val="00DB50B7"/>
    <w:rsid w:val="00DB76B3"/>
    <w:rsid w:val="00DC4A84"/>
    <w:rsid w:val="00DD0459"/>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139"/>
    <w:rsid w:val="00E86772"/>
    <w:rsid w:val="00E90B8B"/>
    <w:rsid w:val="00E93ADD"/>
    <w:rsid w:val="00E952D8"/>
    <w:rsid w:val="00EB00E4"/>
    <w:rsid w:val="00EB28DA"/>
    <w:rsid w:val="00EB3812"/>
    <w:rsid w:val="00EB44EB"/>
    <w:rsid w:val="00EB66B8"/>
    <w:rsid w:val="00EB791E"/>
    <w:rsid w:val="00EC70A9"/>
    <w:rsid w:val="00ED1D3E"/>
    <w:rsid w:val="00ED2474"/>
    <w:rsid w:val="00ED4C3A"/>
    <w:rsid w:val="00ED5492"/>
    <w:rsid w:val="00EE0130"/>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0957"/>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2E8E7FB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3"/>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uiPriority w:val="9"/>
    <w:rPr>
      <w:rFonts w:ascii="Calibri" w:hAnsi="Calibri" w:eastAsia="宋体" w:cs="Times New Roman"/>
      <w:b/>
      <w:bCs/>
      <w:kern w:val="44"/>
      <w:sz w:val="44"/>
      <w:szCs w:val="44"/>
    </w:rPr>
  </w:style>
  <w:style w:type="character" w:customStyle="1" w:styleId="21">
    <w:name w:val="批注文字 字符"/>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customStyle="1" w:styleId="23">
    <w:name w:val="批注框文本 字符"/>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BB9C0-9592-4C8E-BC8A-29C44313CFFD}">
  <ds:schemaRefs/>
</ds:datastoreItem>
</file>

<file path=docProps/app.xml><?xml version="1.0" encoding="utf-8"?>
<Properties xmlns="http://schemas.openxmlformats.org/officeDocument/2006/extended-properties" xmlns:vt="http://schemas.openxmlformats.org/officeDocument/2006/docPropsVTypes">
  <Template>Normal</Template>
  <Pages>9</Pages>
  <Words>5356</Words>
  <Characters>6071</Characters>
  <Lines>46</Lines>
  <Paragraphs>13</Paragraphs>
  <TotalTime>6</TotalTime>
  <ScaleCrop>false</ScaleCrop>
  <LinksUpToDate>false</LinksUpToDate>
  <CharactersWithSpaces>6190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2024-08-27T22:46:00Z</dcterms:created>
  <dc:creator>juvg</dc:creator>
  <cp:lastModifiedBy>奶茶</cp:lastModifiedBy>
  <cp:lastPrinted>2023-09-17T07:48:00Z</cp:lastPrinted>
  <dcterms:modified xsi:type="dcterms:W3CDTF">2024-10-15T05:54:36Z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9C9E6D055FC14E83BBE29628897DC7E3_13</vt:lpwstr>
  </property>
</Properties>
</file>