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1ZHmtQAAAAI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【日语阅读】</w:t>
      </w:r>
    </w:p>
    <w:p>
      <w:pPr>
        <w:shd w:val="clear" w:color="auto" w:fill="F5F5F5"/>
        <w:jc w:val="center"/>
        <w:textAlignment w:val="top"/>
        <w:rPr>
          <w:rFonts w:ascii="Arial" w:hAnsi="Arial" w:cs="Arial"/>
          <w:color w:val="888888"/>
          <w:kern w:val="0"/>
          <w:sz w:val="20"/>
          <w:szCs w:val="20"/>
        </w:rPr>
      </w:pPr>
      <w:r>
        <w:rPr>
          <w:rFonts w:hint="eastAsia"/>
          <w:b/>
          <w:sz w:val="28"/>
          <w:szCs w:val="30"/>
        </w:rPr>
        <w:t>【Japanese Reading】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1020026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olor w:val="000000"/>
          <w:sz w:val="20"/>
          <w:szCs w:val="20"/>
        </w:rPr>
        <w:t>专业任意选修课</w:t>
      </w:r>
      <w:r>
        <w:rPr>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pacing w:line="288" w:lineRule="auto"/>
        <w:ind w:left="1257" w:leftChars="366" w:hanging="488" w:hangingChars="244"/>
        <w:rPr>
          <w:rFonts w:ascii="宋体" w:hAnsi="宋体" w:cs="宋体"/>
          <w:sz w:val="20"/>
        </w:rPr>
      </w:pPr>
      <w:r>
        <w:rPr>
          <w:rFonts w:ascii="宋体" w:hAnsi="宋体" w:cs="宋体"/>
          <w:sz w:val="20"/>
        </w:rPr>
        <w:t>教材【</w:t>
      </w:r>
      <w:r>
        <w:rPr>
          <w:rFonts w:hint="eastAsia" w:ascii="宋体" w:hAnsi="宋体" w:cs="宋体"/>
          <w:sz w:val="20"/>
        </w:rPr>
        <w:t>《晨钟暮鼓——日语短篇诵读精粹》，章虹，上海大学出版社，2018年7月第1版</w:t>
      </w:r>
      <w:r>
        <w:rPr>
          <w:rFonts w:ascii="宋体" w:hAnsi="宋体" w:cs="宋体"/>
          <w:sz w:val="20"/>
        </w:rPr>
        <w:t>】</w:t>
      </w:r>
    </w:p>
    <w:p>
      <w:pPr>
        <w:spacing w:line="288" w:lineRule="auto"/>
        <w:ind w:left="1828" w:leftChars="380" w:hanging="1030" w:hangingChars="515"/>
        <w:rPr>
          <w:rFonts w:ascii="宋体" w:hAnsi="宋体" w:cs="宋体"/>
          <w:sz w:val="20"/>
        </w:rPr>
      </w:pPr>
      <w:r>
        <w:rPr>
          <w:rFonts w:ascii="宋体" w:hAnsi="宋体" w:cs="宋体"/>
          <w:sz w:val="20"/>
        </w:rPr>
        <w:t>参考书目【</w:t>
      </w:r>
      <w:r>
        <w:rPr>
          <w:rFonts w:hint="eastAsia" w:ascii="宋体" w:hAnsi="宋体"/>
          <w:color w:val="000000"/>
          <w:sz w:val="20"/>
          <w:szCs w:val="20"/>
        </w:rPr>
        <w:t>《日文报刊文章选读》；刘振泉编；北京大学出版社，</w:t>
      </w:r>
      <w:r>
        <w:rPr>
          <w:rFonts w:ascii="宋体" w:hAnsi="宋体"/>
          <w:color w:val="000000"/>
          <w:sz w:val="20"/>
          <w:szCs w:val="20"/>
        </w:rPr>
        <w:t>1993</w:t>
      </w:r>
      <w:r>
        <w:rPr>
          <w:rFonts w:ascii="宋体" w:hAnsi="宋体" w:cs="宋体"/>
          <w:sz w:val="20"/>
        </w:rPr>
        <w:t>】</w:t>
      </w:r>
    </w:p>
    <w:p>
      <w:pPr>
        <w:spacing w:line="288" w:lineRule="auto"/>
        <w:ind w:firstLine="1600" w:firstLineChars="80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『現代用語の基礎知識2018』</w:t>
      </w:r>
      <w:r>
        <w:rPr>
          <w:rFonts w:hint="eastAsia" w:ascii="宋体" w:hAnsi="宋体"/>
          <w:sz w:val="20"/>
          <w:szCs w:val="20"/>
          <w:lang w:eastAsia="ja-JP"/>
        </w:rPr>
        <w:t>；</w:t>
      </w:r>
      <w:r>
        <w:rPr>
          <w:rFonts w:hint="eastAsia" w:ascii="MS Mincho" w:hAnsi="MS Mincho" w:eastAsia="MS Mincho"/>
          <w:sz w:val="20"/>
          <w:szCs w:val="20"/>
          <w:lang w:eastAsia="ja-JP"/>
        </w:rPr>
        <w:t>自由国民社</w:t>
      </w:r>
      <w:r>
        <w:rPr>
          <w:rFonts w:hint="eastAsia" w:ascii="宋体" w:hAnsi="宋体" w:cs="宋体"/>
          <w:kern w:val="0"/>
          <w:sz w:val="20"/>
          <w:szCs w:val="20"/>
          <w:lang w:eastAsia="ja-JP"/>
        </w:rPr>
        <w:t>出版</w:t>
      </w:r>
      <w:r>
        <w:rPr>
          <w:rFonts w:hint="eastAsia" w:ascii="宋体" w:hAnsi="宋体"/>
          <w:sz w:val="20"/>
          <w:szCs w:val="20"/>
          <w:lang w:eastAsia="ja-JP"/>
        </w:rPr>
        <w:t>，</w:t>
      </w:r>
      <w:r>
        <w:rPr>
          <w:rFonts w:hint="eastAsia" w:ascii="MS Mincho" w:hAnsi="MS Mincho" w:eastAsia="MS Mincho"/>
          <w:sz w:val="20"/>
          <w:szCs w:val="20"/>
          <w:lang w:eastAsia="ja-JP"/>
        </w:rPr>
        <w:t>2018</w:t>
      </w:r>
      <w:r>
        <w:rPr>
          <w:rFonts w:ascii="宋体" w:hAnsi="宋体" w:cs="宋体"/>
          <w:sz w:val="20"/>
          <w:lang w:eastAsia="ja-JP"/>
        </w:rPr>
        <w:t>】</w:t>
      </w:r>
    </w:p>
    <w:p>
      <w:pPr>
        <w:spacing w:line="288" w:lineRule="auto"/>
        <w:ind w:left="1678" w:leftChars="761" w:hanging="80" w:hangingChars="4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『新聞・テレビ・ニュースの日本語：用例で覚える重要語彙1000：中上級者向け』</w:t>
      </w:r>
      <w:r>
        <w:rPr>
          <w:rFonts w:hint="eastAsia" w:ascii="宋体" w:hAnsi="宋体"/>
          <w:sz w:val="20"/>
          <w:szCs w:val="20"/>
          <w:lang w:eastAsia="ja-JP"/>
        </w:rPr>
        <w:t>；</w:t>
      </w:r>
      <w:r>
        <w:rPr>
          <w:rFonts w:hint="eastAsia" w:ascii="MS Mincho" w:hAnsi="MS Mincho" w:eastAsia="MS Mincho"/>
          <w:sz w:val="20"/>
          <w:szCs w:val="20"/>
          <w:lang w:eastAsia="ja-JP"/>
        </w:rPr>
        <w:t>松本節子</w:t>
      </w:r>
      <w:r>
        <w:rPr>
          <w:rFonts w:hint="eastAsia" w:ascii="宋体" w:hAnsi="宋体"/>
          <w:sz w:val="20"/>
          <w:szCs w:val="20"/>
          <w:lang w:eastAsia="ja-JP"/>
        </w:rPr>
        <w:t>；</w:t>
      </w:r>
      <w:r>
        <w:rPr>
          <w:rFonts w:hint="eastAsia" w:ascii="MS Mincho" w:hAnsi="MS Mincho" w:eastAsia="MS Mincho"/>
          <w:sz w:val="20"/>
          <w:szCs w:val="20"/>
          <w:lang w:eastAsia="ja-JP"/>
        </w:rPr>
        <w:t>The Japan Times</w:t>
      </w:r>
      <w:r>
        <w:rPr>
          <w:rFonts w:hint="eastAsia" w:ascii="宋体" w:hAnsi="宋体"/>
          <w:sz w:val="20"/>
          <w:szCs w:val="20"/>
          <w:lang w:eastAsia="ja-JP"/>
        </w:rPr>
        <w:t>，</w:t>
      </w:r>
      <w:r>
        <w:rPr>
          <w:rFonts w:ascii="宋体" w:hAnsi="宋体"/>
          <w:sz w:val="20"/>
          <w:szCs w:val="20"/>
          <w:lang w:eastAsia="ja-JP"/>
        </w:rPr>
        <w:t>20</w:t>
      </w:r>
      <w:r>
        <w:rPr>
          <w:rFonts w:hint="eastAsia" w:ascii="MS Mincho" w:hAnsi="MS Mincho" w:eastAsia="MS Mincho"/>
          <w:sz w:val="20"/>
          <w:szCs w:val="20"/>
          <w:lang w:eastAsia="ja-JP"/>
        </w:rPr>
        <w:t>15</w:t>
      </w:r>
      <w:r>
        <w:rPr>
          <w:rFonts w:ascii="宋体" w:hAnsi="宋体" w:cs="宋体"/>
          <w:sz w:val="20"/>
          <w:lang w:eastAsia="ja-JP"/>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https://elearning.gench.edu.cn:8443/webapps/discussionboard/do/conference?toggle_mode=edit&amp;action=list_forums&amp;course_id=_17788_1&amp;nav=discussion_board_entry&amp;mode=cpview</w:t>
      </w:r>
    </w:p>
    <w:p>
      <w:pPr>
        <w:adjustRightInd w:val="0"/>
        <w:snapToGrid w:val="0"/>
        <w:spacing w:line="288" w:lineRule="auto"/>
        <w:ind w:firstLine="394" w:firstLineChars="196"/>
        <w:rPr>
          <w:rFonts w:ascii="黑体" w:hAnsi="宋体" w:eastAsia="黑体"/>
          <w:sz w:val="24"/>
        </w:rPr>
      </w:pPr>
      <w:r>
        <w:rPr>
          <w:b/>
          <w:bCs/>
          <w:color w:val="000000"/>
          <w:sz w:val="20"/>
          <w:szCs w:val="20"/>
        </w:rPr>
        <w:t>先修课程：</w:t>
      </w:r>
      <w:r>
        <w:rPr>
          <w:color w:val="000000"/>
          <w:sz w:val="20"/>
          <w:szCs w:val="20"/>
        </w:rPr>
        <w:t>【</w:t>
      </w:r>
      <w:r>
        <w:rPr>
          <w:rFonts w:hint="eastAsia" w:ascii="宋体" w:hAnsi="宋体"/>
          <w:bCs/>
          <w:color w:val="000000"/>
          <w:sz w:val="20"/>
          <w:szCs w:val="20"/>
        </w:rPr>
        <w:t>《基础日语（</w:t>
      </w:r>
      <w:r>
        <w:rPr>
          <w:rFonts w:ascii="宋体" w:hAnsi="宋体"/>
          <w:bCs/>
          <w:color w:val="000000"/>
          <w:sz w:val="20"/>
          <w:szCs w:val="20"/>
        </w:rPr>
        <w:t>5</w:t>
      </w:r>
      <w:r>
        <w:rPr>
          <w:rFonts w:hint="eastAsia" w:ascii="宋体" w:hAnsi="宋体"/>
          <w:bCs/>
          <w:color w:val="000000"/>
          <w:sz w:val="20"/>
          <w:szCs w:val="20"/>
        </w:rPr>
        <w:t>）》</w:t>
      </w:r>
      <w:r>
        <w:rPr>
          <w:rFonts w:ascii="宋体" w:hAnsi="宋体"/>
          <w:bCs/>
          <w:color w:val="000000"/>
          <w:sz w:val="20"/>
          <w:szCs w:val="20"/>
        </w:rPr>
        <w:t>2020056</w:t>
      </w:r>
      <w:r>
        <w:rPr>
          <w:rFonts w:hint="eastAsia" w:ascii="宋体" w:hAnsi="宋体"/>
          <w:bCs/>
          <w:color w:val="000000"/>
          <w:sz w:val="20"/>
          <w:szCs w:val="20"/>
        </w:rPr>
        <w:t>（</w:t>
      </w:r>
      <w:r>
        <w:rPr>
          <w:rFonts w:ascii="宋体" w:hAnsi="宋体"/>
          <w:bCs/>
          <w:color w:val="000000"/>
          <w:sz w:val="20"/>
          <w:szCs w:val="20"/>
        </w:rPr>
        <w:t>10</w:t>
      </w:r>
      <w:r>
        <w:rPr>
          <w:rFonts w:hint="eastAsia" w:ascii="宋体" w:hAnsi="宋体"/>
          <w:bCs/>
          <w:color w:val="000000"/>
          <w:sz w:val="20"/>
          <w:szCs w:val="20"/>
        </w:rPr>
        <w:t>），《日语语法（</w:t>
      </w:r>
      <w:r>
        <w:rPr>
          <w:rFonts w:ascii="宋体" w:hAnsi="宋体"/>
          <w:bCs/>
          <w:color w:val="000000"/>
          <w:sz w:val="20"/>
          <w:szCs w:val="20"/>
        </w:rPr>
        <w:t>2</w:t>
      </w:r>
      <w:r>
        <w:rPr>
          <w:rFonts w:hint="eastAsia" w:ascii="宋体" w:hAnsi="宋体"/>
          <w:bCs/>
          <w:color w:val="000000"/>
          <w:sz w:val="20"/>
          <w:szCs w:val="20"/>
        </w:rPr>
        <w:t>）》</w:t>
      </w:r>
      <w:r>
        <w:rPr>
          <w:rFonts w:ascii="宋体" w:hAnsi="宋体"/>
          <w:bCs/>
          <w:color w:val="000000"/>
          <w:sz w:val="20"/>
          <w:szCs w:val="20"/>
        </w:rPr>
        <w:t>2020090</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lang w:eastAsia="ja-JP"/>
        </w:rPr>
      </w:pPr>
      <w:r>
        <w:rPr>
          <w:rFonts w:ascii="黑体" w:hAnsi="宋体" w:eastAsia="黑体"/>
          <w:sz w:val="24"/>
          <w:lang w:eastAsia="ja-JP"/>
        </w:rPr>
        <w:t>二</w:t>
      </w:r>
      <w:r>
        <w:rPr>
          <w:rFonts w:hint="eastAsia" w:ascii="黑体" w:hAnsi="宋体" w:eastAsia="黑体"/>
          <w:sz w:val="24"/>
          <w:lang w:eastAsia="ja-JP"/>
        </w:rPr>
        <w:t>、</w:t>
      </w:r>
      <w:r>
        <w:rPr>
          <w:rFonts w:ascii="黑体" w:hAnsi="宋体" w:eastAsia="黑体"/>
          <w:sz w:val="24"/>
          <w:lang w:eastAsia="ja-JP"/>
        </w:rPr>
        <w:t>课程简介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本課程は、学生の日本語の閲読能力と理解力を高め、専門的な語彙と日本に関する新しい情報を身に着けることを目的とする。本課程の学習においては日本の政治、経済、環境保護、地勢、道徳、宗教、戦争、犯罪、科学技術、教育、文化、スポーツ、芸術など、幅広い分野から話題を取り上げ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文章を深く理解するために、日本語の理解力の向上をはかる以外にも、学生相互で文章に関する討論を行い、感想を表出することで、単に一方的に文章を理解するだけでなく、多方面から考察する能力の向上も目指す。</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本课程为日于专业必修课，适合在第七学期开设。要求学生掌握基础词汇，熟悉语法知识，具备一定的阅读能力。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kern w:val="0"/>
                <w:sz w:val="20"/>
                <w:szCs w:val="20"/>
              </w:rPr>
            </w:pPr>
            <w:r>
              <w:rPr>
                <w:rFonts w:hint="eastAsia" w:ascii="仿宋" w:hAnsi="仿宋" w:eastAsia="仿宋" w:cs="宋体"/>
                <w:color w:val="000000"/>
                <w:kern w:val="0"/>
                <w:sz w:val="24"/>
                <w:szCs w:val="24"/>
              </w:rPr>
              <w:t>LO11：</w:t>
            </w:r>
          </w:p>
        </w:tc>
        <w:tc>
          <w:tcPr>
            <w:tcW w:w="6095" w:type="dxa"/>
            <w:vAlign w:val="center"/>
          </w:tcPr>
          <w:p>
            <w:pPr>
              <w:rPr>
                <w:kern w:val="0"/>
                <w:sz w:val="20"/>
                <w:szCs w:val="20"/>
              </w:rPr>
            </w:pPr>
            <w:r>
              <w:rPr>
                <w:rFonts w:hint="eastAsia"/>
                <w:kern w:val="0"/>
                <w:sz w:val="20"/>
                <w:szCs w:val="20"/>
              </w:rPr>
              <w:t>LO111倾听他人意见、尊重他人观点、分析他人需求。</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cs="宋体"/>
                <w:color w:val="000000"/>
                <w:kern w:val="0"/>
                <w:sz w:val="24"/>
                <w:szCs w:val="24"/>
              </w:rPr>
            </w:pPr>
          </w:p>
        </w:tc>
        <w:tc>
          <w:tcPr>
            <w:tcW w:w="6095" w:type="dxa"/>
            <w:vAlign w:val="center"/>
          </w:tcPr>
          <w:p>
            <w:pPr>
              <w:rPr>
                <w:kern w:val="0"/>
                <w:sz w:val="20"/>
                <w:szCs w:val="20"/>
              </w:rPr>
            </w:pPr>
            <w:r>
              <w:rPr>
                <w:rFonts w:hint="eastAsia"/>
                <w:kern w:val="0"/>
                <w:sz w:val="20"/>
                <w:szCs w:val="20"/>
              </w:rPr>
              <w:t>LO112应用书面或口头形式，阐释自己的观点，有效沟通。</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vAlign w:val="center"/>
          </w:tcPr>
          <w:p>
            <w:pPr>
              <w:widowControl/>
              <w:rPr>
                <w:kern w:val="0"/>
                <w:sz w:val="20"/>
                <w:szCs w:val="20"/>
              </w:rPr>
            </w:pPr>
            <w:r>
              <w:rPr>
                <w:rFonts w:hint="eastAsia"/>
                <w:kern w:val="0"/>
                <w:sz w:val="20"/>
                <w:szCs w:val="20"/>
              </w:rPr>
              <w:t>L0411遵纪守法：遵守校纪校规，具备法律意识。</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L0412 诚实守信：为人诚实，信守承诺，尽职尽责。</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LO414身心健康，能承受学习和生活中的压力。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L0512 有质疑精神，能有逻辑的分析与批判。</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L0514了解行业前沿知识技术。</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vAlign w:val="center"/>
          </w:tcPr>
          <w:p>
            <w:pPr>
              <w:widowControl/>
              <w:rPr>
                <w:kern w:val="0"/>
                <w:sz w:val="20"/>
                <w:szCs w:val="20"/>
              </w:rPr>
            </w:pPr>
            <w:r>
              <w:rPr>
                <w:rFonts w:hint="eastAsia"/>
                <w:kern w:val="0"/>
                <w:sz w:val="20"/>
                <w:szCs w:val="20"/>
              </w:rPr>
              <w:t>LO611能够根据需要进行专业文献检索。</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LO613熟练使用计算机，掌握常用办公软件。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vAlign w:val="center"/>
          </w:tcPr>
          <w:p>
            <w:pPr>
              <w:widowControl/>
              <w:rPr>
                <w:kern w:val="0"/>
                <w:sz w:val="20"/>
                <w:szCs w:val="20"/>
              </w:rPr>
            </w:pPr>
            <w:r>
              <w:rPr>
                <w:rFonts w:hint="eastAsia"/>
                <w:kern w:val="0"/>
                <w:sz w:val="20"/>
                <w:szCs w:val="20"/>
              </w:rPr>
              <w:t>LO811具备外语表达沟通能力，达到本专业的要求。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LO812理解其他国家历史文化，有跨文化交流能力。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LO813有国际竞争与合作意识。</w:t>
            </w:r>
          </w:p>
        </w:tc>
        <w:tc>
          <w:tcPr>
            <w:tcW w:w="618"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pPr>
      <w:r>
        <w:rPr>
          <w:rFonts w:hint="eastAsia"/>
        </w:rPr>
        <w:t>备注：LO=</w:t>
      </w:r>
      <w:r>
        <w:t>learning outcomes</w:t>
      </w:r>
      <w:r>
        <w:rPr>
          <w:rFonts w:hint="eastAsia"/>
        </w:rPr>
        <w:t>（学习成果）</w:t>
      </w:r>
    </w:p>
    <w:p>
      <w:pPr>
        <w:widowControl/>
        <w:spacing w:before="156" w:beforeLines="50" w:after="156" w:afterLines="50" w:line="288" w:lineRule="auto"/>
        <w:jc w:val="left"/>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kern w:val="0"/>
                <w:sz w:val="20"/>
                <w:szCs w:val="20"/>
              </w:rPr>
              <w:t>LO313</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日本語の翻訳と読解能力を高める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LO332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具有跨文化交际能力，掌握有效的认知、调控、交际策略和跨文化理解能力。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文章を読み込み、深く理解する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L0512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有质疑精神，能有逻辑的分析与批判。</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文章の十分な理解の上に各自の感想・意見などを発表する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LO612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能够使用适合的工具来搜集信息，并对信息加以分析、鉴别、判断与整合。</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文章に関する資料を収集し分析する</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szCs w:val="24"/>
              </w:rPr>
            </w:pPr>
            <w:r>
              <w:rPr>
                <w:rFonts w:hint="eastAsia"/>
                <w:kern w:val="0"/>
                <w:sz w:val="20"/>
                <w:szCs w:val="20"/>
              </w:rPr>
              <w:t>LO812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理解其他国家历史文化，有跨文化交流能力。</w:t>
            </w:r>
          </w:p>
        </w:tc>
        <w:tc>
          <w:tcPr>
            <w:tcW w:w="2199" w:type="dxa"/>
            <w:shd w:val="clear" w:color="auto" w:fill="auto"/>
          </w:tcPr>
          <w:p>
            <w:pPr>
              <w:snapToGrid w:val="0"/>
              <w:spacing w:line="288" w:lineRule="auto"/>
              <w:jc w:val="left"/>
              <w:rPr>
                <w:rFonts w:ascii="仿宋" w:hAnsi="仿宋" w:eastAsia="仿宋" w:cs="宋体"/>
                <w:color w:val="000000"/>
                <w:kern w:val="0"/>
                <w:sz w:val="20"/>
                <w:szCs w:val="20"/>
                <w:lang w:eastAsia="ja-JP"/>
              </w:rPr>
            </w:pPr>
            <w:r>
              <w:rPr>
                <w:rFonts w:hint="eastAsia" w:ascii="MS Mincho" w:hAnsi="MS Mincho" w:eastAsia="MS Mincho"/>
                <w:sz w:val="20"/>
                <w:szCs w:val="20"/>
                <w:lang w:eastAsia="ja-JP"/>
              </w:rPr>
              <w:t>文章の理解の上に発展的な知識を増やす</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总课时为32学时，其中教师课堂授课（含讲解、演示、点评等环节）学时为32学时；课外练习、调研、阅读文献及作业等时间不计在内。</w:t>
      </w:r>
    </w:p>
    <w:tbl>
      <w:tblPr>
        <w:tblStyle w:val="6"/>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b/>
                <w:kern w:val="0"/>
                <w:sz w:val="20"/>
                <w:szCs w:val="20"/>
              </w:rPr>
            </w:pPr>
            <w:r>
              <w:rPr>
                <w:rFonts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themeColor="text1"/>
                <w:kern w:val="0"/>
                <w:sz w:val="20"/>
                <w:szCs w:val="20"/>
                <w14:textFill>
                  <w14:solidFill>
                    <w14:schemeClr w14:val="tx1"/>
                  </w14:solidFill>
                </w14:textFill>
              </w:rPr>
            </w:pPr>
            <w:r>
              <w:rPr>
                <w:rFonts w:hint="eastAsia" w:ascii="黑体" w:hAnsi="黑体" w:eastAsia="黑体" w:cs="黑体"/>
                <w:b/>
                <w:color w:val="000000" w:themeColor="text1"/>
                <w:kern w:val="0"/>
                <w:sz w:val="20"/>
                <w:szCs w:val="20"/>
                <w14:textFill>
                  <w14:solidFill>
                    <w14:schemeClr w14:val="tx1"/>
                  </w14:solidFill>
                </w14:textFill>
              </w:rPr>
              <w:t>工作</w:t>
            </w:r>
          </w:p>
          <w:p>
            <w:pPr>
              <w:jc w:val="center"/>
              <w:rPr>
                <w:rFonts w:ascii="黑体" w:hAnsi="黑体" w:eastAsia="黑体" w:cs="黑体"/>
                <w:b/>
                <w:color w:val="FF0000"/>
                <w:kern w:val="0"/>
                <w:sz w:val="20"/>
                <w:szCs w:val="20"/>
              </w:rPr>
            </w:pPr>
            <w:r>
              <w:rPr>
                <w:rFonts w:hint="eastAsia" w:ascii="黑体" w:hAnsi="黑体" w:eastAsia="黑体" w:cs="黑体"/>
                <w:b/>
                <w:color w:val="000000" w:themeColor="text1"/>
                <w:kern w:val="0"/>
                <w:sz w:val="20"/>
                <w:szCs w:val="20"/>
                <w14:textFill>
                  <w14:solidFill>
                    <w14:schemeClr w14:val="tx1"/>
                  </w14:solidFill>
                </w14:textFill>
              </w:rPr>
              <w:t>任务</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ascii="黑体" w:hAnsi="黑体" w:eastAsia="黑体" w:cs="黑体"/>
                <w:b/>
                <w:kern w:val="0"/>
                <w:sz w:val="20"/>
                <w:szCs w:val="20"/>
              </w:rPr>
              <w:t>知识</w:t>
            </w:r>
            <w:r>
              <w:rPr>
                <w:rFonts w:hint="eastAsia" w:ascii="黑体" w:hAnsi="黑体" w:eastAsia="黑体" w:cs="黑体"/>
                <w:b/>
                <w:kern w:val="0"/>
                <w:sz w:val="20"/>
                <w:szCs w:val="20"/>
              </w:rPr>
              <w:t>能力</w:t>
            </w:r>
            <w:r>
              <w:rPr>
                <w:rFonts w:ascii="黑体" w:hAnsi="黑体" w:eastAsia="黑体" w:cs="黑体"/>
                <w:b/>
                <w:kern w:val="0"/>
                <w:sz w:val="20"/>
                <w:szCs w:val="20"/>
              </w:rPr>
              <w:t>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342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p>
            <w:pPr>
              <w:snapToGrid w:val="0"/>
              <w:spacing w:line="288" w:lineRule="auto"/>
              <w:rPr>
                <w:rFonts w:asciiTheme="minorEastAsia" w:hAnsiTheme="minorEastAsia" w:eastAsiaTheme="minorEastAsia" w:cstheme="minorEastAsia"/>
                <w:bCs/>
                <w:color w:val="000000"/>
                <w:szCs w:val="21"/>
              </w:rPr>
            </w:pP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寓言童话</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32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文化传统</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90"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3</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世间百态</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45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 w:val="20"/>
                <w:szCs w:val="20"/>
              </w:rPr>
            </w:pPr>
            <w:r>
              <w:rPr>
                <w:rFonts w:hint="eastAsia" w:ascii="宋体" w:hAnsi="宋体"/>
                <w:bCs/>
                <w:color w:val="000000"/>
                <w:sz w:val="20"/>
                <w:szCs w:val="20"/>
              </w:rPr>
              <w:t>推特文学</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w:t>
            </w:r>
            <w:r>
              <w:rPr>
                <w:rFonts w:hint="eastAsia" w:ascii="MS Mincho" w:hAnsi="MS Mincho" w:eastAsia="MS Mincho" w:cs="MS Mincho"/>
                <w:sz w:val="20"/>
                <w:szCs w:val="20"/>
                <w:lang w:eastAsia="ja-JP"/>
              </w:rPr>
              <w:t>ツイッター文学</w:t>
            </w:r>
            <w:r>
              <w:rPr>
                <w:rFonts w:hint="eastAsia" w:ascii="宋体" w:hAnsi="宋体" w:eastAsia="MS Mincho"/>
                <w:sz w:val="20"/>
                <w:szCs w:val="20"/>
                <w:lang w:eastAsia="ja-JP"/>
              </w:rPr>
              <w:t>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bl>
    <w:p>
      <w:pPr>
        <w:snapToGrid w:val="0"/>
        <w:spacing w:line="288" w:lineRule="auto"/>
        <w:ind w:right="26"/>
        <w:rPr>
          <w:sz w:val="20"/>
          <w:szCs w:val="20"/>
          <w:lang w:eastAsia="ja-JP"/>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七、评价方式与成绩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ascii="MS Mincho" w:hAnsi="MS Mincho"/>
          <w:sz w:val="28"/>
          <w:szCs w:val="28"/>
        </w:rPr>
        <w:t xml:space="preserve">    </w:t>
      </w:r>
      <w:r>
        <w:rPr>
          <w:rFonts w:ascii="MS Mincho" w:hAnsi="MS Mincho"/>
          <w:sz w:val="28"/>
          <w:szCs w:val="28"/>
        </w:rPr>
        <w:drawing>
          <wp:inline distT="0" distB="0" distL="0" distR="0">
            <wp:extent cx="804545" cy="542290"/>
            <wp:effectExtent l="0" t="0" r="0" b="0"/>
            <wp:docPr id="2" name="图片 2" descr="F:\日语系专兼职教师电子签名\专职老师\潘小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日语系专兼职教师电子签名\专职老师\潘小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7849" cy="544877"/>
                    </a:xfrm>
                    <a:prstGeom prst="rect">
                      <a:avLst/>
                    </a:prstGeom>
                    <a:noFill/>
                    <a:ln>
                      <a:noFill/>
                    </a:ln>
                  </pic:spPr>
                </pic:pic>
              </a:graphicData>
            </a:graphic>
          </wp:inline>
        </w:drawing>
      </w:r>
      <w:r>
        <w:rPr>
          <w:rFonts w:hint="eastAsia" w:ascii="MS Mincho" w:hAnsi="MS Mincho"/>
          <w:sz w:val="28"/>
          <w:szCs w:val="28"/>
        </w:rPr>
        <w:t xml:space="preserve">      </w:t>
      </w:r>
      <w:r>
        <w:rPr>
          <w:rFonts w:hint="eastAsia" w:ascii="MS Mincho" w:hAnsi="MS Mincho" w:eastAsiaTheme="minorEastAsia"/>
          <w:sz w:val="28"/>
          <w:szCs w:val="28"/>
        </w:rPr>
        <w:t xml:space="preserve"> </w:t>
      </w:r>
      <w:r>
        <w:rPr>
          <w:rFonts w:hint="eastAsia"/>
          <w:sz w:val="28"/>
          <w:szCs w:val="28"/>
        </w:rPr>
        <w:t>系主任审核签名：</w:t>
      </w:r>
      <w:r>
        <w:rPr>
          <w:rFonts w:hint="eastAsia"/>
          <w:sz w:val="24"/>
          <w:szCs w:val="24"/>
        </w:rPr>
        <w:drawing>
          <wp:inline distT="0" distB="0" distL="114300" distR="114300">
            <wp:extent cx="1115695" cy="405130"/>
            <wp:effectExtent l="0" t="0" r="8255" b="13970"/>
            <wp:docPr id="1" name="图片 1"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尔瑟"/>
                    <pic:cNvPicPr>
                      <a:picLocks noChangeAspect="1"/>
                    </pic:cNvPicPr>
                  </pic:nvPicPr>
                  <pic:blipFill>
                    <a:blip r:embed="rId5"/>
                    <a:stretch>
                      <a:fillRect/>
                    </a:stretch>
                  </pic:blipFill>
                  <pic:spPr>
                    <a:xfrm>
                      <a:off x="0" y="0"/>
                      <a:ext cx="1115695" cy="405130"/>
                    </a:xfrm>
                    <a:prstGeom prst="rect">
                      <a:avLst/>
                    </a:prstGeom>
                    <a:noFill/>
                    <a:ln>
                      <a:noFill/>
                    </a:ln>
                  </pic:spPr>
                </pic:pic>
              </a:graphicData>
            </a:graphic>
          </wp:inline>
        </w:drawing>
      </w:r>
    </w:p>
    <w:p>
      <w:pPr>
        <w:snapToGrid w:val="0"/>
        <w:spacing w:line="288" w:lineRule="auto"/>
        <w:rPr>
          <w:rFonts w:hint="default" w:eastAsia="宋体"/>
          <w:lang w:val="en-US" w:eastAsia="zh-CN"/>
        </w:rPr>
      </w:pPr>
      <w:r>
        <w:rPr>
          <w:rFonts w:hint="eastAsia"/>
          <w:sz w:val="28"/>
          <w:szCs w:val="28"/>
        </w:rPr>
        <w:t>审核时间：</w:t>
      </w:r>
      <w:r>
        <w:rPr>
          <w:rFonts w:hint="eastAsia"/>
          <w:sz w:val="28"/>
          <w:szCs w:val="28"/>
          <w:lang w:val="en-US" w:eastAsia="zh-CN"/>
        </w:rPr>
        <w:t>2023.2.25</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7D225E"/>
    <w:rsid w:val="008B397C"/>
    <w:rsid w:val="008B47F4"/>
    <w:rsid w:val="00900019"/>
    <w:rsid w:val="00981DFD"/>
    <w:rsid w:val="0099063E"/>
    <w:rsid w:val="00A769B1"/>
    <w:rsid w:val="00A837D5"/>
    <w:rsid w:val="00AC4C45"/>
    <w:rsid w:val="00B22E96"/>
    <w:rsid w:val="00B46F21"/>
    <w:rsid w:val="00B511A5"/>
    <w:rsid w:val="00B736A7"/>
    <w:rsid w:val="00B7651F"/>
    <w:rsid w:val="00C56E09"/>
    <w:rsid w:val="00CF096B"/>
    <w:rsid w:val="00CF20DF"/>
    <w:rsid w:val="00E16D30"/>
    <w:rsid w:val="00E33169"/>
    <w:rsid w:val="00E70904"/>
    <w:rsid w:val="00EF44B1"/>
    <w:rsid w:val="00F35AA0"/>
    <w:rsid w:val="00F70E5A"/>
    <w:rsid w:val="016E63C2"/>
    <w:rsid w:val="024B0C39"/>
    <w:rsid w:val="02896EE4"/>
    <w:rsid w:val="03785E8F"/>
    <w:rsid w:val="05827871"/>
    <w:rsid w:val="06421089"/>
    <w:rsid w:val="079131FC"/>
    <w:rsid w:val="09482CCD"/>
    <w:rsid w:val="0A8128A6"/>
    <w:rsid w:val="0BDE49F8"/>
    <w:rsid w:val="0BF32A1B"/>
    <w:rsid w:val="0FFA5589"/>
    <w:rsid w:val="10BD2C22"/>
    <w:rsid w:val="1CE004B1"/>
    <w:rsid w:val="1D814953"/>
    <w:rsid w:val="22987C80"/>
    <w:rsid w:val="24192CCC"/>
    <w:rsid w:val="2C71584E"/>
    <w:rsid w:val="2F347B6D"/>
    <w:rsid w:val="39A66CD4"/>
    <w:rsid w:val="3C7D4FB5"/>
    <w:rsid w:val="3CD52CE1"/>
    <w:rsid w:val="3DB47B36"/>
    <w:rsid w:val="3DCB345B"/>
    <w:rsid w:val="3E497394"/>
    <w:rsid w:val="410F2E6A"/>
    <w:rsid w:val="433B3139"/>
    <w:rsid w:val="4430136C"/>
    <w:rsid w:val="46BF20CD"/>
    <w:rsid w:val="472D6416"/>
    <w:rsid w:val="49C52E62"/>
    <w:rsid w:val="4AB0382B"/>
    <w:rsid w:val="569868B5"/>
    <w:rsid w:val="5F4F0CE4"/>
    <w:rsid w:val="611F6817"/>
    <w:rsid w:val="6470330B"/>
    <w:rsid w:val="66CA1754"/>
    <w:rsid w:val="6A7161EF"/>
    <w:rsid w:val="6F1E65D4"/>
    <w:rsid w:val="6F266C86"/>
    <w:rsid w:val="6F5042C2"/>
    <w:rsid w:val="70246516"/>
    <w:rsid w:val="74316312"/>
    <w:rsid w:val="780F13C8"/>
    <w:rsid w:val="793801DD"/>
    <w:rsid w:val="7C385448"/>
    <w:rsid w:val="7CB3663D"/>
    <w:rsid w:val="7DD44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2920</Words>
  <Characters>3371</Characters>
  <Lines>26</Lines>
  <Paragraphs>7</Paragraphs>
  <TotalTime>1</TotalTime>
  <ScaleCrop>false</ScaleCrop>
  <LinksUpToDate>false</LinksUpToDate>
  <CharactersWithSpaces>3391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2023-02-18T10:29:00Z</dcterms:created>
  <dc:creator>juvg</dc:creator>
  <cp:lastModifiedBy>Administrator</cp:lastModifiedBy>
  <dcterms:modified xsi:type="dcterms:W3CDTF">2023-03-20T01:22:17Z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A381FD3A112449B6AAC7B110C8E9C1EA</vt:lpwstr>
  </property>
</Properties>
</file>