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BD50F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《口译理论与实践》</w:t>
      </w:r>
      <w:r>
        <w:rPr>
          <w:rFonts w:hint="eastAsia" w:ascii="黑体" w:hAnsi="黑体" w:eastAsia="黑体"/>
          <w:bCs/>
          <w:sz w:val="32"/>
          <w:szCs w:val="32"/>
        </w:rPr>
        <w:t>本科课程教学大纲</w:t>
      </w:r>
    </w:p>
    <w:p w14:paraId="5C4D8D42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3F32FDB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E670A8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35D177E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（中文）口译理论与实践</w:t>
            </w:r>
          </w:p>
        </w:tc>
      </w:tr>
      <w:tr w14:paraId="56EBF0BB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0DFC2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FCEC24D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（英文）Interpretation theory and praxis</w:t>
            </w:r>
          </w:p>
        </w:tc>
      </w:tr>
      <w:tr w14:paraId="1255972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C26845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FC5D22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1025001</w:t>
            </w:r>
          </w:p>
        </w:tc>
        <w:tc>
          <w:tcPr>
            <w:tcW w:w="2126" w:type="dxa"/>
            <w:gridSpan w:val="2"/>
            <w:vAlign w:val="center"/>
          </w:tcPr>
          <w:p w14:paraId="268CE22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B072E0A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321438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C4352E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E8B985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52FADB7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60CB7EF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05917F72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14AD823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78F6FC73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8EEAC7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39BB0B1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2B6F957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81716E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德语专业四年级</w:t>
            </w:r>
          </w:p>
        </w:tc>
      </w:tr>
      <w:tr w14:paraId="3B0DFFE1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5F2C1A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FCF984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系级必修课</w:t>
            </w:r>
          </w:p>
        </w:tc>
        <w:tc>
          <w:tcPr>
            <w:tcW w:w="2126" w:type="dxa"/>
            <w:gridSpan w:val="2"/>
            <w:vAlign w:val="center"/>
          </w:tcPr>
          <w:p w14:paraId="0C2E7E2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436EE91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39BDE60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5E27E5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4E5919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《中德商务口译教程》，胡峰，对外经济贸易大学出版社，北京，2</w:t>
            </w:r>
            <w:r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13" w:type="dxa"/>
            <w:gridSpan w:val="2"/>
            <w:vAlign w:val="center"/>
          </w:tcPr>
          <w:p w14:paraId="460ACBA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D980A0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4393549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B80139B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AFDBEC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076482E">
            <w:pPr>
              <w:pStyle w:val="14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笔译理论与实践 1020008</w:t>
            </w:r>
          </w:p>
        </w:tc>
      </w:tr>
      <w:tr w14:paraId="01F7EAB4">
        <w:trPr>
          <w:trHeight w:val="350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1CD723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D7DDA90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译理论与实践是德语系高年级学生的必修课，它即是对所学德语知识的实际应用也是对德语能力的反向提高，本课程以理论为基础，以大量实践为依托，最终达到正确处理常见中文难点句子的德语化翻译，以及商务场景中常见句式的德译中，中译德。本课程包括两部分内容：一是对中德互译时常见的问题处理方法：数字，俗语，顺序问题，篇章结构问题，修辞方面的问题；二是通过实战训练，通过练习，提高学生的德语水平。</w:t>
            </w:r>
          </w:p>
          <w:p w14:paraId="0E2956E5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名为《口译理论与实践》，在练习选择中，选区有典型意义的商务翻译文本为练习样本；在平时课堂的组织上，先以举例开始，多加练习，逐渐达到口译水平，从生疏的翻译，逐渐达到熟练的翻译，能够实现正确翻译常见中文特点的句子，以及根据不同场景和背景，加入合理德修辞和篇章连接。</w:t>
            </w:r>
          </w:p>
        </w:tc>
      </w:tr>
      <w:tr w14:paraId="5389436D">
        <w:trPr>
          <w:trHeight w:val="847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37846B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E406A92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建议先修《笔译理论与实践》，并具备扎实的德语水平。</w:t>
            </w:r>
          </w:p>
        </w:tc>
      </w:tr>
      <w:tr w14:paraId="6A928C83">
        <w:trPr>
          <w:trHeight w:val="704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DDAC8D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ED814C1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0</wp:posOffset>
                  </wp:positionV>
                  <wp:extent cx="952500" cy="457200"/>
                  <wp:effectExtent l="0" t="0" r="0" b="0"/>
                  <wp:wrapNone/>
                  <wp:docPr id="65408545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08545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45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FEB35A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C583BE4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2024.8.31</w:t>
            </w:r>
          </w:p>
        </w:tc>
      </w:tr>
      <w:tr w14:paraId="5C863E6F">
        <w:trPr>
          <w:trHeight w:val="89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62D00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A70CA54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71120</wp:posOffset>
                  </wp:positionV>
                  <wp:extent cx="733425" cy="485775"/>
                  <wp:effectExtent l="0" t="0" r="0" b="9525"/>
                  <wp:wrapNone/>
                  <wp:docPr id="1923176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1767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48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EF24906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7BBB1510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2024.9.1</w:t>
            </w:r>
          </w:p>
        </w:tc>
      </w:tr>
      <w:tr w14:paraId="18CE7011">
        <w:trPr>
          <w:trHeight w:val="1018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B6A3EB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E9BB5D9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9525</wp:posOffset>
                  </wp:positionV>
                  <wp:extent cx="1057275" cy="638175"/>
                  <wp:effectExtent l="0" t="0" r="9525" b="9525"/>
                  <wp:wrapNone/>
                  <wp:docPr id="118266664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66664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6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009B67E8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06B6C4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2024.9.2</w:t>
            </w:r>
          </w:p>
        </w:tc>
      </w:tr>
    </w:tbl>
    <w:p w14:paraId="07DDA2D7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26CB95B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DA2ACE3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532B7EF4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4A4B081E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5C8DE73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54544475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BC04D68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20EBD8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31C1EB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40D55DD5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了解基本的翻译理论，目的论、功能对等理论。翻译过程是理解+翻译的过程，翻译成目标语言时，要达到在目标读者中唤起同样的语言效果。</w:t>
            </w:r>
          </w:p>
        </w:tc>
      </w:tr>
      <w:tr w14:paraId="51A5C510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E35061E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B8D712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B5C6349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了解翻译过程中语义学、心理语言学对翻译的作用。从而知道一词多义、词的搭配、词的文化因素对翻译的影响。</w:t>
            </w:r>
          </w:p>
        </w:tc>
      </w:tr>
      <w:tr w14:paraId="62B5244C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796279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FEFC04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418A5C39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熟练运用各类词典、网页搜索等方式进行翻译，同时擅用翻译设备辅助翻译</w:t>
            </w:r>
          </w:p>
        </w:tc>
      </w:tr>
      <w:tr w14:paraId="4B340C6E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DEE08D5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E7FC5C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5DC3E8A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熟练运用翻译软件，并对翻译软件进行取舍的运用</w:t>
            </w:r>
          </w:p>
        </w:tc>
      </w:tr>
      <w:tr w14:paraId="31E68D2A">
        <w:trPr>
          <w:trHeight w:val="1462" w:hRule="atLeast"/>
          <w:jc w:val="center"/>
        </w:trPr>
        <w:tc>
          <w:tcPr>
            <w:tcW w:w="1206" w:type="dxa"/>
            <w:vAlign w:val="center"/>
          </w:tcPr>
          <w:p w14:paraId="799157C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3FD09A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D609A7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78E0775B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把握翻译源语言的风格，了解目标语言的文化和表达习惯，从而不拘泥于词汇层面的翻译，达到“目的论”要求的翻译效果。翻译是一个不断积累经验、千锤百炼的过程。在翻译训练中不断突破自己，成为一个合格的译员。</w:t>
            </w:r>
          </w:p>
        </w:tc>
      </w:tr>
    </w:tbl>
    <w:p w14:paraId="2C2C5111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0EECF89">
        <w:tc>
          <w:tcPr>
            <w:tcW w:w="8296" w:type="dxa"/>
          </w:tcPr>
          <w:p w14:paraId="3A521788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Cs/>
              </w:rPr>
            </w:pPr>
            <w:r>
              <w:rPr>
                <w:b/>
              </w:rPr>
              <w:t>LO1品德修养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 w14:paraId="3B66457C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⑤</w:t>
            </w:r>
            <w:r>
              <w:rPr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14:paraId="5CE8E11C">
        <w:tc>
          <w:tcPr>
            <w:tcW w:w="8296" w:type="dxa"/>
          </w:tcPr>
          <w:p w14:paraId="6C087758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Cs/>
              </w:rPr>
            </w:pPr>
            <w:r>
              <w:rPr>
                <w:b/>
              </w:rPr>
              <w:t>LO2专业能力</w:t>
            </w:r>
            <w:r>
              <w:rPr>
                <w:bCs/>
              </w:rPr>
              <w:t>：具有人文科学素养，具备</w:t>
            </w:r>
            <w:r>
              <w:rPr>
                <w:rFonts w:hint="eastAsia"/>
                <w:bCs/>
              </w:rPr>
              <w:t>全面的德语语言综合能力及专业细分方向的各项技能</w:t>
            </w:r>
            <w:r>
              <w:rPr>
                <w:bCs/>
              </w:rPr>
              <w:t>。</w:t>
            </w:r>
          </w:p>
          <w:p w14:paraId="5957EF33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6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⑥</w:t>
            </w:r>
            <w:r>
              <w:rPr>
                <w:bCs/>
              </w:rPr>
              <w:fldChar w:fldCharType="end"/>
            </w:r>
            <w:r>
              <w:rPr>
                <w:rFonts w:hint="eastAsia"/>
                <w:bCs/>
              </w:rPr>
              <w:t>具有较熟练运用德语进行笔译和口译工作的能力。</w:t>
            </w:r>
          </w:p>
        </w:tc>
      </w:tr>
      <w:tr w14:paraId="1656EF89">
        <w:tc>
          <w:tcPr>
            <w:tcW w:w="8296" w:type="dxa"/>
          </w:tcPr>
          <w:p w14:paraId="5604C1DC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Cs/>
              </w:rPr>
            </w:pPr>
            <w:r>
              <w:rPr>
                <w:b/>
              </w:rPr>
              <w:t>LO6协同创新</w:t>
            </w:r>
            <w:r>
              <w:rPr>
                <w:bCs/>
              </w:rPr>
              <w:t>：同群体保持良好的合作关系，做集体中的积极成员，善于自我管理和团队管理；善于从多个维度思考问题，利用自己的知识与实践来提出新设想。</w:t>
            </w:r>
          </w:p>
          <w:p w14:paraId="1E3EDE81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④</w:t>
            </w:r>
            <w:r>
              <w:rPr>
                <w:bCs/>
              </w:rPr>
              <w:t>了解行业前沿知识技术。</w:t>
            </w:r>
          </w:p>
        </w:tc>
      </w:tr>
      <w:tr w14:paraId="2B39C427">
        <w:tc>
          <w:tcPr>
            <w:tcW w:w="8296" w:type="dxa"/>
          </w:tcPr>
          <w:p w14:paraId="789712FE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Cs/>
              </w:rPr>
            </w:pPr>
            <w:r>
              <w:rPr>
                <w:b/>
              </w:rPr>
              <w:t>LO7信息应用</w:t>
            </w:r>
            <w:r>
              <w:rPr>
                <w:bCs/>
              </w:rPr>
              <w:t>：具备一定的信息素养，并能在工作中应用信息技术和工具解决问题。</w:t>
            </w:r>
          </w:p>
          <w:p w14:paraId="66C83F67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能够使用适合的工具来搜集信息，并对信息加以分析、鉴别、判断与整合。</w:t>
            </w:r>
          </w:p>
        </w:tc>
      </w:tr>
    </w:tbl>
    <w:p w14:paraId="5C476CB8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184F7A32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B652F6A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A32828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FEE813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28EC2CD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7C8349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34858FC">
        <w:trPr>
          <w:trHeight w:val="1626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CE4CE45">
            <w:pPr>
              <w:pStyle w:val="14"/>
            </w:pPr>
            <w:r>
              <w:rPr>
                <w:rFonts w:hint="eastAsia"/>
              </w:rPr>
              <w:t>LO1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34D96201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fldChar w:fldCharType="begin"/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hint="eastAsia" w:cs="Times New Roman"/>
                <w:bCs/>
              </w:rPr>
              <w:instrText xml:space="preserve">eq \o\ac(○,5)</w:instrText>
            </w:r>
            <w:r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F6D2D46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373EC8DF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把握翻译源语言的风格，了解目标语言的文化和表达习惯，从而不拘泥于词汇层面的翻译，达到“目的论”要求的翻译效果。翻译是一个不断积累经验、千锤百炼的过程。在翻译训练中不断突破自己，成为一个合格的译员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8F8B645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20%</w:t>
            </w:r>
          </w:p>
        </w:tc>
      </w:tr>
      <w:tr w14:paraId="1984A4B5">
        <w:trPr>
          <w:trHeight w:val="434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57B19E3">
            <w:pPr>
              <w:pStyle w:val="14"/>
            </w:pPr>
            <w:r>
              <w:rPr>
                <w:rFonts w:hint="eastAsia"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0349DC8B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fldChar w:fldCharType="begin"/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hint="eastAsia" w:cs="Times New Roman"/>
                <w:bCs/>
              </w:rPr>
              <w:instrText xml:space="preserve">eq \o\ac(○,6)</w:instrText>
            </w:r>
            <w:r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BD9AFEC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545ACADF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了解基本的翻译理论，目的论、功能对等理论。翻译过程是理解+翻译的过程，翻译成目标语言时，要达到在目标读者中唤起同样的语言效果。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7B90A050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20%</w:t>
            </w:r>
          </w:p>
        </w:tc>
      </w:tr>
      <w:tr w14:paraId="3F241EF6">
        <w:trPr>
          <w:trHeight w:val="645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B445CA3"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1E7469FB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BC64471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1D5CAE8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了解翻译过程中语义学、心理语言学对翻译的作用。从而知道一词多义、词的搭配、词的文化因素对翻译的影响。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5973A78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20%</w:t>
            </w:r>
          </w:p>
        </w:tc>
      </w:tr>
      <w:tr w14:paraId="3B4E0C27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201835C">
            <w:pPr>
              <w:pStyle w:val="14"/>
            </w:pPr>
            <w:r>
              <w:rPr>
                <w:rFonts w:hint="eastAsia"/>
              </w:rPr>
              <w:t>LO6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2C71D17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fldChar w:fldCharType="begin"/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hint="eastAsia" w:cs="Times New Roman"/>
                <w:bCs/>
              </w:rPr>
              <w:instrText xml:space="preserve">eq \o\ac(○,4)</w:instrText>
            </w:r>
            <w:r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FF4AB5F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12F61AC0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熟练运用各类词典、网页搜索等方式进行翻译，同时擅用翻译设备辅助翻译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3410637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20%</w:t>
            </w:r>
          </w:p>
        </w:tc>
      </w:tr>
      <w:tr w14:paraId="2F06870B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1FD9E246">
            <w:pPr>
              <w:pStyle w:val="14"/>
            </w:pPr>
            <w:r>
              <w:rPr>
                <w:rFonts w:hint="eastAsia"/>
              </w:rPr>
              <w:t>LO7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0451458B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fldChar w:fldCharType="begin"/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hint="eastAsia" w:cs="Times New Roman"/>
                <w:bCs/>
              </w:rPr>
              <w:instrText xml:space="preserve">eq \o\ac(○,2)</w:instrText>
            </w:r>
            <w:r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E67B354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365D9A4D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熟练运用翻译软件，并对翻译软件进行取舍的运用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D323DD9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20%</w:t>
            </w:r>
          </w:p>
        </w:tc>
      </w:tr>
    </w:tbl>
    <w:p w14:paraId="359E6A37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5AD90DA1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85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6"/>
      </w:tblGrid>
      <w:tr w14:paraId="4A05FB13">
        <w:tc>
          <w:tcPr>
            <w:tcW w:w="8546" w:type="dxa"/>
          </w:tcPr>
          <w:p w14:paraId="3E78281A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/>
                <w:bCs/>
              </w:rPr>
              <w:t>第一单元：所谓翻译，翻译的是词吗？</w:t>
            </w:r>
          </w:p>
          <w:p w14:paraId="0FD565DF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介绍翻译过程，翻译过程为理解+翻译。翻译的对象不是词，而是含义。译者要在理解的基础上翻译。译者需借助字典、网络等工具，做到理解源语言。而翻译成目标语言时，要达到的翻译效果要等同于源语言在源读者中产生的效果。这是整个翻译过程的基础，也是整个课程的基础。本单元通过若干实例解释这点。</w:t>
            </w:r>
          </w:p>
          <w:p w14:paraId="45E7FAF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1531CB3A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第二单元：口译的介绍和基础：口译的特点介绍，简单的口译训练。</w:t>
            </w:r>
          </w:p>
          <w:p w14:paraId="701EADC8"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知道口译的特点和基础。训练学生的速记能力、介绍速记方法，并进行速记训练。理解翻译的边界，哪些翻译可直译，哪些需要意译。</w:t>
            </w:r>
          </w:p>
          <w:p w14:paraId="01AB790C"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</w:p>
          <w:p w14:paraId="5606641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第三单元：翻译的文化因素</w:t>
            </w:r>
          </w:p>
          <w:p w14:paraId="5ECDAAB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翻译不仅是词的差别，也要注意，同一个词义，在不同文化中有不同的文化内涵。比如在调查问卷中，要问一个德国人是否为自己是个德国人感到骄傲，如果按字面意思翻译，是不可能达到预期效果的。因为作为二战战败国的德国，看到这句话首先自然反应是“不”，所以就达不到问卷效果。这种情况不能按字面反应。本单元将通过若干例子，来解释翻译的文化因素。</w:t>
            </w:r>
          </w:p>
          <w:p w14:paraId="3CC180A3">
            <w:pPr>
              <w:pStyle w:val="14"/>
              <w:widowControl w:val="0"/>
              <w:jc w:val="left"/>
              <w:rPr>
                <w:bCs/>
              </w:rPr>
            </w:pPr>
          </w:p>
          <w:p w14:paraId="13E233C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第四单元：翻译技巧</w:t>
            </w:r>
          </w:p>
          <w:p w14:paraId="644317ED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道词类转换、句法结构和篇章等翻译的基础技能，能够运用技巧进行口译。一般来说，中文或者英文，翻译成德语时，字数会增多，这样大大降低了口译的效率，同时占用了谈话时间。口译时要学会增减词，提高效率。</w:t>
            </w:r>
          </w:p>
          <w:p w14:paraId="29B0913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54AB28A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第五单元：商务差旅的口译实训</w:t>
            </w:r>
          </w:p>
          <w:p w14:paraId="1C46C04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单元将进行比较详细的商务差旅口译训练，让学生身临其境地感受最常见的德语口译场景之一——商务差旅。本单元分为三个训练阶段：口译前的准备，口译中，口译口的总结。本单元作为实践环节，会结合教师点评，指出学生在口译前准备不充分的地方，口译中出现技巧性错误的地方。</w:t>
            </w:r>
          </w:p>
          <w:p w14:paraId="12D97CE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079F628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第六单元：商务接洽的口译实训</w:t>
            </w:r>
          </w:p>
          <w:p w14:paraId="56913B4B">
            <w:pPr>
              <w:pStyle w:val="14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/>
                <w:bCs/>
              </w:rPr>
              <w:t>本单元将进行比较详细的商务差旅口译训练，让学生身临其境地感受最常见的德语口译场景之一——商务接洽。本单元分为三个训练阶段：口译前的准备，口译中，口译口的总结。本单元作为实践环节，会结合教师点评，指出学生在口译前准备不充分的地方，口译中出现技巧性错误的地方。</w:t>
            </w:r>
          </w:p>
        </w:tc>
      </w:tr>
      <w:bookmarkEnd w:id="0"/>
      <w:bookmarkEnd w:id="1"/>
    </w:tbl>
    <w:p w14:paraId="0D9F5797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319"/>
        <w:gridCol w:w="1319"/>
        <w:gridCol w:w="1320"/>
        <w:gridCol w:w="1319"/>
        <w:gridCol w:w="1320"/>
      </w:tblGrid>
      <w:tr w14:paraId="2852D423"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59C1C3D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98CF5B2">
            <w:pPr>
              <w:pStyle w:val="13"/>
              <w:ind w:right="210"/>
              <w:jc w:val="left"/>
              <w:rPr>
                <w:szCs w:val="16"/>
              </w:rPr>
            </w:pPr>
          </w:p>
          <w:p w14:paraId="4907DB9B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288" w:type="dxa"/>
            <w:tcBorders>
              <w:top w:val="single" w:color="auto" w:sz="12" w:space="0"/>
            </w:tcBorders>
            <w:vAlign w:val="center"/>
          </w:tcPr>
          <w:p w14:paraId="3884EB1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color="auto" w:sz="12" w:space="0"/>
            </w:tcBorders>
            <w:vAlign w:val="center"/>
          </w:tcPr>
          <w:p w14:paraId="574FE16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color="auto" w:sz="12" w:space="0"/>
            </w:tcBorders>
            <w:vAlign w:val="center"/>
          </w:tcPr>
          <w:p w14:paraId="6CCD356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288" w:type="dxa"/>
            <w:tcBorders>
              <w:top w:val="single" w:color="auto" w:sz="12" w:space="0"/>
            </w:tcBorders>
            <w:vAlign w:val="center"/>
          </w:tcPr>
          <w:p w14:paraId="2466159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28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9A1D81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2315DBD6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1E8698DB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  <w:vAlign w:val="center"/>
          </w:tcPr>
          <w:p w14:paraId="39179330">
            <w:pPr>
              <w:pStyle w:val="14"/>
            </w:pPr>
            <w:r>
              <w:rPr>
                <w:rFonts w:hint="eastAsia" w:ascii="Segoe UI Symbol" w:hAnsi="Segoe UI Symbol" w:cs="Segoe UI Symbol"/>
              </w:rPr>
              <w:t>✔</w:t>
            </w:r>
          </w:p>
        </w:tc>
        <w:tc>
          <w:tcPr>
            <w:tcW w:w="1288" w:type="dxa"/>
            <w:vAlign w:val="center"/>
          </w:tcPr>
          <w:p w14:paraId="3842E47A">
            <w:pPr>
              <w:pStyle w:val="14"/>
            </w:pPr>
          </w:p>
        </w:tc>
        <w:tc>
          <w:tcPr>
            <w:tcW w:w="1289" w:type="dxa"/>
            <w:vAlign w:val="center"/>
          </w:tcPr>
          <w:p w14:paraId="6BDAB436">
            <w:pPr>
              <w:pStyle w:val="14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288" w:type="dxa"/>
            <w:vAlign w:val="center"/>
          </w:tcPr>
          <w:p w14:paraId="0DAD03C8">
            <w:pPr>
              <w:pStyle w:val="14"/>
            </w:pPr>
          </w:p>
        </w:tc>
        <w:tc>
          <w:tcPr>
            <w:tcW w:w="1289" w:type="dxa"/>
            <w:tcBorders>
              <w:right w:val="single" w:color="auto" w:sz="12" w:space="0"/>
            </w:tcBorders>
            <w:vAlign w:val="center"/>
          </w:tcPr>
          <w:p w14:paraId="7F6A5973">
            <w:pPr>
              <w:pStyle w:val="14"/>
            </w:pPr>
          </w:p>
        </w:tc>
      </w:tr>
      <w:tr w14:paraId="032DEB65">
        <w:trPr>
          <w:trHeight w:val="572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2A30D875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  <w:vAlign w:val="center"/>
          </w:tcPr>
          <w:p w14:paraId="633D3394">
            <w:pPr>
              <w:pStyle w:val="14"/>
            </w:pPr>
          </w:p>
        </w:tc>
        <w:tc>
          <w:tcPr>
            <w:tcW w:w="1288" w:type="dxa"/>
            <w:vAlign w:val="center"/>
          </w:tcPr>
          <w:p w14:paraId="485B4007">
            <w:pPr>
              <w:pStyle w:val="14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289" w:type="dxa"/>
            <w:vAlign w:val="center"/>
          </w:tcPr>
          <w:p w14:paraId="55194B34">
            <w:pPr>
              <w:pStyle w:val="14"/>
            </w:pPr>
          </w:p>
        </w:tc>
        <w:tc>
          <w:tcPr>
            <w:tcW w:w="1288" w:type="dxa"/>
            <w:vAlign w:val="center"/>
          </w:tcPr>
          <w:p w14:paraId="767582F4">
            <w:pPr>
              <w:pStyle w:val="14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289" w:type="dxa"/>
            <w:tcBorders>
              <w:right w:val="single" w:color="auto" w:sz="12" w:space="0"/>
            </w:tcBorders>
            <w:vAlign w:val="center"/>
          </w:tcPr>
          <w:p w14:paraId="1130558B">
            <w:pPr>
              <w:pStyle w:val="14"/>
            </w:pPr>
          </w:p>
        </w:tc>
      </w:tr>
      <w:tr w14:paraId="62A13461">
        <w:trPr>
          <w:trHeight w:val="633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79DB5592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288" w:type="dxa"/>
            <w:vAlign w:val="center"/>
          </w:tcPr>
          <w:p w14:paraId="268787F7">
            <w:pPr>
              <w:pStyle w:val="14"/>
            </w:pPr>
          </w:p>
        </w:tc>
        <w:tc>
          <w:tcPr>
            <w:tcW w:w="1288" w:type="dxa"/>
            <w:vAlign w:val="center"/>
          </w:tcPr>
          <w:p w14:paraId="1E73D9FE">
            <w:pPr>
              <w:pStyle w:val="14"/>
            </w:pPr>
          </w:p>
        </w:tc>
        <w:tc>
          <w:tcPr>
            <w:tcW w:w="1289" w:type="dxa"/>
            <w:vAlign w:val="center"/>
          </w:tcPr>
          <w:p w14:paraId="639AE3A0">
            <w:pPr>
              <w:pStyle w:val="14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288" w:type="dxa"/>
            <w:vAlign w:val="center"/>
          </w:tcPr>
          <w:p w14:paraId="6B2FA36A">
            <w:pPr>
              <w:pStyle w:val="14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289" w:type="dxa"/>
            <w:tcBorders>
              <w:right w:val="single" w:color="auto" w:sz="12" w:space="0"/>
            </w:tcBorders>
            <w:vAlign w:val="center"/>
          </w:tcPr>
          <w:p w14:paraId="19EFC4C0">
            <w:pPr>
              <w:pStyle w:val="14"/>
            </w:pPr>
          </w:p>
        </w:tc>
      </w:tr>
      <w:tr w14:paraId="5C94B573">
        <w:trPr>
          <w:trHeight w:val="618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4BFE86BF"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1288" w:type="dxa"/>
            <w:vAlign w:val="center"/>
          </w:tcPr>
          <w:p w14:paraId="4BEA3E49">
            <w:pPr>
              <w:pStyle w:val="14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288" w:type="dxa"/>
            <w:vAlign w:val="center"/>
          </w:tcPr>
          <w:p w14:paraId="40F6CCFE">
            <w:pPr>
              <w:pStyle w:val="14"/>
            </w:pPr>
          </w:p>
        </w:tc>
        <w:tc>
          <w:tcPr>
            <w:tcW w:w="1289" w:type="dxa"/>
            <w:vAlign w:val="center"/>
          </w:tcPr>
          <w:p w14:paraId="46AEEF33">
            <w:pPr>
              <w:pStyle w:val="14"/>
            </w:pPr>
          </w:p>
        </w:tc>
        <w:tc>
          <w:tcPr>
            <w:tcW w:w="1288" w:type="dxa"/>
            <w:vAlign w:val="center"/>
          </w:tcPr>
          <w:p w14:paraId="6982B8F8">
            <w:pPr>
              <w:pStyle w:val="14"/>
            </w:pPr>
          </w:p>
        </w:tc>
        <w:tc>
          <w:tcPr>
            <w:tcW w:w="1289" w:type="dxa"/>
            <w:tcBorders>
              <w:right w:val="single" w:color="auto" w:sz="12" w:space="0"/>
            </w:tcBorders>
            <w:vAlign w:val="center"/>
          </w:tcPr>
          <w:p w14:paraId="2C65D7AF">
            <w:pPr>
              <w:pStyle w:val="14"/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4B440024">
        <w:trPr>
          <w:trHeight w:val="476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03FD9B02">
            <w:pPr>
              <w:pStyle w:val="14"/>
            </w:pPr>
            <w:r>
              <w:rPr>
                <w:rFonts w:hint="eastAsia"/>
              </w:rPr>
              <w:t>5</w:t>
            </w:r>
          </w:p>
        </w:tc>
        <w:tc>
          <w:tcPr>
            <w:tcW w:w="1288" w:type="dxa"/>
            <w:vAlign w:val="center"/>
          </w:tcPr>
          <w:p w14:paraId="694A17ED">
            <w:pPr>
              <w:pStyle w:val="14"/>
            </w:pPr>
          </w:p>
        </w:tc>
        <w:tc>
          <w:tcPr>
            <w:tcW w:w="1288" w:type="dxa"/>
            <w:vAlign w:val="center"/>
          </w:tcPr>
          <w:p w14:paraId="518D024D">
            <w:pPr>
              <w:pStyle w:val="14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289" w:type="dxa"/>
            <w:vAlign w:val="center"/>
          </w:tcPr>
          <w:p w14:paraId="1ECEBB7D">
            <w:pPr>
              <w:pStyle w:val="14"/>
            </w:pPr>
          </w:p>
        </w:tc>
        <w:tc>
          <w:tcPr>
            <w:tcW w:w="1288" w:type="dxa"/>
            <w:vAlign w:val="center"/>
          </w:tcPr>
          <w:p w14:paraId="153848E9">
            <w:pPr>
              <w:pStyle w:val="14"/>
            </w:pPr>
          </w:p>
        </w:tc>
        <w:tc>
          <w:tcPr>
            <w:tcW w:w="1289" w:type="dxa"/>
            <w:tcBorders>
              <w:right w:val="single" w:color="auto" w:sz="12" w:space="0"/>
            </w:tcBorders>
            <w:vAlign w:val="center"/>
          </w:tcPr>
          <w:p w14:paraId="13AFA49C">
            <w:pPr>
              <w:pStyle w:val="14"/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14:paraId="1D1E6425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 w14:paraId="6A2CB779">
            <w:pPr>
              <w:pStyle w:val="14"/>
            </w:pPr>
            <w:r>
              <w:rPr>
                <w:rFonts w:hint="eastAsia"/>
              </w:rPr>
              <w:t>6</w:t>
            </w:r>
          </w:p>
        </w:tc>
        <w:tc>
          <w:tcPr>
            <w:tcW w:w="1288" w:type="dxa"/>
            <w:tcBorders>
              <w:bottom w:val="single" w:color="auto" w:sz="12" w:space="0"/>
            </w:tcBorders>
            <w:vAlign w:val="center"/>
          </w:tcPr>
          <w:p w14:paraId="3F0AC456">
            <w:pPr>
              <w:pStyle w:val="14"/>
            </w:pPr>
          </w:p>
        </w:tc>
        <w:tc>
          <w:tcPr>
            <w:tcW w:w="1288" w:type="dxa"/>
            <w:tcBorders>
              <w:bottom w:val="single" w:color="auto" w:sz="12" w:space="0"/>
            </w:tcBorders>
            <w:vAlign w:val="center"/>
          </w:tcPr>
          <w:p w14:paraId="35345BD4">
            <w:pPr>
              <w:pStyle w:val="14"/>
            </w:pPr>
          </w:p>
        </w:tc>
        <w:tc>
          <w:tcPr>
            <w:tcW w:w="1289" w:type="dxa"/>
            <w:tcBorders>
              <w:bottom w:val="single" w:color="auto" w:sz="12" w:space="0"/>
            </w:tcBorders>
            <w:vAlign w:val="center"/>
          </w:tcPr>
          <w:p w14:paraId="484E1F0A">
            <w:pPr>
              <w:pStyle w:val="14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288" w:type="dxa"/>
            <w:tcBorders>
              <w:bottom w:val="single" w:color="auto" w:sz="12" w:space="0"/>
            </w:tcBorders>
            <w:vAlign w:val="center"/>
          </w:tcPr>
          <w:p w14:paraId="416517FC">
            <w:pPr>
              <w:pStyle w:val="14"/>
            </w:pPr>
          </w:p>
        </w:tc>
        <w:tc>
          <w:tcPr>
            <w:tcW w:w="128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EF80766">
            <w:pPr>
              <w:pStyle w:val="14"/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</w:tbl>
    <w:p w14:paraId="76483177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504A7BCB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655C32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69973D5B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02F1CC63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C59EEEA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2BC9688A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6716252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3DADC2F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5B5310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8A192C0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6CC9A73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16EE98A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0991106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8565FF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2690" w:type="dxa"/>
            <w:vAlign w:val="center"/>
          </w:tcPr>
          <w:p w14:paraId="1FE1FA7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讲解+练习</w:t>
            </w:r>
          </w:p>
        </w:tc>
        <w:tc>
          <w:tcPr>
            <w:tcW w:w="1697" w:type="dxa"/>
            <w:vAlign w:val="center"/>
          </w:tcPr>
          <w:p w14:paraId="606CAFA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</w:t>
            </w:r>
          </w:p>
        </w:tc>
        <w:tc>
          <w:tcPr>
            <w:tcW w:w="708" w:type="dxa"/>
            <w:vAlign w:val="center"/>
          </w:tcPr>
          <w:p w14:paraId="2BE892C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1006B4F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7D4585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31608697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1EC098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2690" w:type="dxa"/>
          </w:tcPr>
          <w:p w14:paraId="77FA5D41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讲解+练习</w:t>
            </w:r>
          </w:p>
        </w:tc>
        <w:tc>
          <w:tcPr>
            <w:tcW w:w="1697" w:type="dxa"/>
            <w:vAlign w:val="center"/>
          </w:tcPr>
          <w:p w14:paraId="2B79394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22A85C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0E5221C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F6DFC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1A248334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6D738C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2690" w:type="dxa"/>
          </w:tcPr>
          <w:p w14:paraId="4BC63BB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讲解+练习</w:t>
            </w:r>
          </w:p>
        </w:tc>
        <w:tc>
          <w:tcPr>
            <w:tcW w:w="1697" w:type="dxa"/>
          </w:tcPr>
          <w:p w14:paraId="420F0F8F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</w:t>
            </w:r>
          </w:p>
        </w:tc>
        <w:tc>
          <w:tcPr>
            <w:tcW w:w="708" w:type="dxa"/>
            <w:vAlign w:val="center"/>
          </w:tcPr>
          <w:p w14:paraId="6F2C581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429FC92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CF8CBC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B12BCEC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0DAA7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2690" w:type="dxa"/>
          </w:tcPr>
          <w:p w14:paraId="2A0D549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讲解+练习</w:t>
            </w:r>
          </w:p>
        </w:tc>
        <w:tc>
          <w:tcPr>
            <w:tcW w:w="1697" w:type="dxa"/>
          </w:tcPr>
          <w:p w14:paraId="29493267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</w:t>
            </w:r>
          </w:p>
        </w:tc>
        <w:tc>
          <w:tcPr>
            <w:tcW w:w="708" w:type="dxa"/>
            <w:vAlign w:val="center"/>
          </w:tcPr>
          <w:p w14:paraId="17D4415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42300D6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B5057D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E94C871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5B6ED3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0" w:type="dxa"/>
          </w:tcPr>
          <w:p w14:paraId="51D28EE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讲解+练习</w:t>
            </w:r>
          </w:p>
        </w:tc>
        <w:tc>
          <w:tcPr>
            <w:tcW w:w="1697" w:type="dxa"/>
          </w:tcPr>
          <w:p w14:paraId="74775C17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</w:t>
            </w:r>
          </w:p>
        </w:tc>
        <w:tc>
          <w:tcPr>
            <w:tcW w:w="708" w:type="dxa"/>
            <w:vAlign w:val="center"/>
          </w:tcPr>
          <w:p w14:paraId="0F686D8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13EC242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3B2EBB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3E86BCC6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6C09D2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2690" w:type="dxa"/>
          </w:tcPr>
          <w:p w14:paraId="2BB84F2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讲解+练习</w:t>
            </w:r>
          </w:p>
        </w:tc>
        <w:tc>
          <w:tcPr>
            <w:tcW w:w="1697" w:type="dxa"/>
          </w:tcPr>
          <w:p w14:paraId="7CC28A51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现场点评</w:t>
            </w:r>
          </w:p>
        </w:tc>
        <w:tc>
          <w:tcPr>
            <w:tcW w:w="708" w:type="dxa"/>
            <w:vAlign w:val="center"/>
          </w:tcPr>
          <w:p w14:paraId="3E6DCFE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700F544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9A7910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1EFAB154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3476957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705AA6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0E0E4C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21E606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</w:tr>
    </w:tbl>
    <w:p w14:paraId="4EB639E7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6306B48C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5043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95D3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2A98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2FA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22C5DB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BBCAF3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A4EE15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60855F19">
        <w:trPr>
          <w:trHeight w:val="2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DF500B4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5B10">
            <w:pPr>
              <w:pStyle w:val="14"/>
            </w:pPr>
            <w:r>
              <w:rPr>
                <w:rFonts w:hint="eastAsia"/>
              </w:rPr>
              <w:t>口译实践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B1C026">
            <w:pPr>
              <w:pStyle w:val="14"/>
              <w:jc w:val="left"/>
            </w:pPr>
            <w:r>
              <w:rPr>
                <w:rFonts w:hint="eastAsia"/>
              </w:rPr>
              <w:t>目标：训练学生口译能力</w:t>
            </w:r>
          </w:p>
          <w:p w14:paraId="7734AAAD">
            <w:pPr>
              <w:pStyle w:val="14"/>
              <w:jc w:val="left"/>
            </w:pPr>
            <w:r>
              <w:rPr>
                <w:rFonts w:hint="eastAsia"/>
              </w:rPr>
              <w:t>主要内容：学生实时口译，老师现场点评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C1538">
            <w:pPr>
              <w:pStyle w:val="14"/>
            </w:pPr>
            <w:r>
              <w:rPr>
                <w:rFonts w:hint="eastAsia"/>
              </w:rPr>
              <w:t>16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55849A8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4B3B8650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7DADE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34B0ADD0">
      <w:pPr>
        <w:pStyle w:val="16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6560E4E2">
        <w:trPr>
          <w:trHeight w:val="1128" w:hRule="atLeast"/>
        </w:trPr>
        <w:tc>
          <w:tcPr>
            <w:tcW w:w="8276" w:type="dxa"/>
            <w:vAlign w:val="center"/>
          </w:tcPr>
          <w:p w14:paraId="0795802C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让世界了解中国，把中国文化宣扬出去是外语学者自觉的任务之一。然而，由于文化不同、语言水平局限，德国人对中国文化了解比较少，有一些想了解的，因为看不到好的德语解释，对中国文化一直感到陌生。中翻德的路程任重道远。</w:t>
            </w:r>
          </w:p>
          <w:p w14:paraId="5E96FBDB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在商务差旅一单元，将涉及把中国食物、中国经典、中国传说翻译成德语的部分，在这部分，学生将尝试自己把中国特色的词汇翻译出来，翻译没有标准，但是翻译的好坏可以由是否被德国人很好的理解作为衡量参考。经过不同版本的比较、分析、探讨，学生们要学会对翻译的锤炼，从而不断提高自己，养成不断突破自己的习惯。</w:t>
            </w:r>
          </w:p>
        </w:tc>
      </w:tr>
    </w:tbl>
    <w:p w14:paraId="0593EA60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8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720"/>
        <w:gridCol w:w="709"/>
        <w:gridCol w:w="709"/>
        <w:gridCol w:w="850"/>
        <w:gridCol w:w="851"/>
      </w:tblGrid>
      <w:tr w14:paraId="6A9E894A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015004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761B78C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BE3CF10">
            <w:pPr>
              <w:pStyle w:val="16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00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9E1205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85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282B83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54F7E4CC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3BBD7A1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7D8169A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225B592C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9665E5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14:paraId="0412422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14DB807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39CF2FC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14:paraId="2C6D471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right w:val="single" w:color="auto" w:sz="12" w:space="0"/>
            </w:tcBorders>
          </w:tcPr>
          <w:p w14:paraId="516F348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6DCADECA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EECBA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BED58A7">
            <w:pPr>
              <w:pStyle w:val="14"/>
              <w:widowControl w:val="0"/>
            </w:pPr>
            <w:r>
              <w:rPr>
                <w:rFonts w:hint="eastAsia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C2DDB14">
            <w:pPr>
              <w:pStyle w:val="14"/>
              <w:widowControl w:val="0"/>
            </w:pPr>
            <w:r>
              <w:rPr>
                <w:rFonts w:hint="eastAsia"/>
              </w:rPr>
              <w:t>口译练习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7CDAF37">
            <w:pPr>
              <w:pStyle w:val="14"/>
              <w:widowControl w:val="0"/>
            </w:pPr>
            <w:r>
              <w:rPr>
                <w:rFonts w:hint="eastAsia" w:ascii="Segoe UI Symbol" w:hAnsi="Segoe UI Symbol" w:cs="Segoe UI Symbol"/>
              </w:rPr>
              <w:t>✔</w:t>
            </w:r>
          </w:p>
        </w:tc>
        <w:tc>
          <w:tcPr>
            <w:tcW w:w="720" w:type="dxa"/>
            <w:vAlign w:val="center"/>
          </w:tcPr>
          <w:p w14:paraId="103B199C">
            <w:pPr>
              <w:pStyle w:val="14"/>
              <w:widowControl w:val="0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709" w:type="dxa"/>
            <w:vAlign w:val="center"/>
          </w:tcPr>
          <w:p w14:paraId="574BB062">
            <w:pPr>
              <w:pStyle w:val="14"/>
              <w:widowControl w:val="0"/>
            </w:pPr>
          </w:p>
        </w:tc>
        <w:tc>
          <w:tcPr>
            <w:tcW w:w="709" w:type="dxa"/>
            <w:vAlign w:val="center"/>
          </w:tcPr>
          <w:p w14:paraId="0DA33DA6">
            <w:pPr>
              <w:pStyle w:val="14"/>
              <w:widowControl w:val="0"/>
            </w:pPr>
          </w:p>
        </w:tc>
        <w:tc>
          <w:tcPr>
            <w:tcW w:w="850" w:type="dxa"/>
            <w:vAlign w:val="center"/>
          </w:tcPr>
          <w:p w14:paraId="0551CE49">
            <w:pPr>
              <w:pStyle w:val="14"/>
              <w:widowControl w:val="0"/>
            </w:pP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 w14:paraId="3B654987">
            <w:pPr>
              <w:pStyle w:val="14"/>
              <w:widowControl w:val="0"/>
            </w:pPr>
            <w:r>
              <w:rPr>
                <w:rFonts w:hint="eastAsia"/>
              </w:rPr>
              <w:t>40%</w:t>
            </w:r>
          </w:p>
        </w:tc>
      </w:tr>
      <w:tr w14:paraId="366A7A4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FED1EA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2D0D01D9">
            <w:pPr>
              <w:pStyle w:val="14"/>
              <w:widowControl w:val="0"/>
            </w:pPr>
            <w:r>
              <w:rPr>
                <w:rFonts w:hint="eastAsia"/>
              </w:rPr>
              <w:t>60%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75F76C4">
            <w:pPr>
              <w:pStyle w:val="14"/>
              <w:widowControl w:val="0"/>
            </w:pPr>
            <w:r>
              <w:rPr>
                <w:rFonts w:hint="eastAsia"/>
              </w:rPr>
              <w:t>口试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1EA21D9">
            <w:pPr>
              <w:pStyle w:val="14"/>
              <w:widowControl w:val="0"/>
            </w:pPr>
          </w:p>
        </w:tc>
        <w:tc>
          <w:tcPr>
            <w:tcW w:w="720" w:type="dxa"/>
            <w:vAlign w:val="center"/>
          </w:tcPr>
          <w:p w14:paraId="11A330C0">
            <w:pPr>
              <w:pStyle w:val="14"/>
              <w:widowControl w:val="0"/>
            </w:pPr>
          </w:p>
        </w:tc>
        <w:tc>
          <w:tcPr>
            <w:tcW w:w="709" w:type="dxa"/>
            <w:vAlign w:val="center"/>
          </w:tcPr>
          <w:p w14:paraId="1C92BF12">
            <w:pPr>
              <w:pStyle w:val="14"/>
              <w:widowControl w:val="0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709" w:type="dxa"/>
            <w:vAlign w:val="center"/>
          </w:tcPr>
          <w:p w14:paraId="42184BD3">
            <w:pPr>
              <w:pStyle w:val="14"/>
              <w:widowControl w:val="0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850" w:type="dxa"/>
            <w:vAlign w:val="center"/>
          </w:tcPr>
          <w:p w14:paraId="2F8E3112">
            <w:pPr>
              <w:pStyle w:val="14"/>
              <w:widowControl w:val="0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851" w:type="dxa"/>
            <w:tcBorders>
              <w:right w:val="single" w:color="auto" w:sz="12" w:space="0"/>
            </w:tcBorders>
            <w:vAlign w:val="center"/>
          </w:tcPr>
          <w:p w14:paraId="15487B63">
            <w:pPr>
              <w:pStyle w:val="14"/>
              <w:widowControl w:val="0"/>
            </w:pPr>
            <w:r>
              <w:rPr>
                <w:rFonts w:hint="eastAsia"/>
              </w:rPr>
              <w:t>60%</w:t>
            </w:r>
          </w:p>
        </w:tc>
      </w:tr>
    </w:tbl>
    <w:p w14:paraId="5417C4FD">
      <w:pPr>
        <w:pStyle w:val="16"/>
        <w:rPr>
          <w:rFonts w:hint="eastAsia" w:ascii="黑体" w:hAnsi="宋体"/>
          <w:sz w:val="18"/>
          <w:szCs w:val="16"/>
        </w:rPr>
      </w:pPr>
      <w:bookmarkStart w:id="6" w:name="_GoBack"/>
      <w:bookmarkEnd w:id="6"/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798C3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3940E4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3940E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210F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91383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236D9"/>
    <w:rsid w:val="00226BDD"/>
    <w:rsid w:val="0023156C"/>
    <w:rsid w:val="00232D15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96366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0C69"/>
    <w:rsid w:val="0041267F"/>
    <w:rsid w:val="00424BA5"/>
    <w:rsid w:val="00425431"/>
    <w:rsid w:val="00431829"/>
    <w:rsid w:val="00437B60"/>
    <w:rsid w:val="004405E6"/>
    <w:rsid w:val="00443C84"/>
    <w:rsid w:val="00443C89"/>
    <w:rsid w:val="004531AB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057F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02F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68BA"/>
    <w:rsid w:val="008B7448"/>
    <w:rsid w:val="008B7E1E"/>
    <w:rsid w:val="008C2AE6"/>
    <w:rsid w:val="008C2DE8"/>
    <w:rsid w:val="008C5113"/>
    <w:rsid w:val="008C5B8A"/>
    <w:rsid w:val="008D34D9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012C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DF5112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368B8"/>
    <w:rsid w:val="00F43C49"/>
    <w:rsid w:val="00F44276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BFF193E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530</Words>
  <Characters>3025</Characters>
  <Lines>25</Lines>
  <Paragraphs>7</Paragraphs>
  <TotalTime>7</TotalTime>
  <ScaleCrop>false</ScaleCrop>
  <LinksUpToDate>false</LinksUpToDate>
  <CharactersWithSpaces>3548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假字稻遮劳</cp:lastModifiedBy>
  <cp:lastPrinted>2023-11-21T08:52:00Z</cp:lastPrinted>
  <dcterms:modified xsi:type="dcterms:W3CDTF">2024-09-25T20:35:27Z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B8588DEF0F9F45EEA60E8230054E83AB_12</vt:lpwstr>
  </property>
</Properties>
</file>