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color w:val="000000"/>
          <w:kern w:val="0"/>
          <w:sz w:val="22"/>
        </w:rPr>
      </w:pPr>
      <w:r>
        <w:rPr>
          <w:rFonts w:hint="eastAsia" w:ascii="宋体" w:hAnsi="宋体" w:eastAsia="宋体" w:cs="宋体"/>
          <w:b/>
          <w:sz w:val="28"/>
          <w:szCs w:val="30"/>
        </w:rPr>
        <w:t>【</w: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page">
                  <wp:posOffset>482600</wp:posOffset>
                </wp:positionH>
                <wp:positionV relativeFrom="page">
                  <wp:posOffset>165100</wp:posOffset>
                </wp:positionV>
                <wp:extent cx="2635250" cy="4635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35250" cy="46355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13pt;height:36.5pt;width:207.5pt;mso-position-horizontal-relative:page;mso-position-vertical-relative:page;z-index:251659264;mso-width-relative:page;mso-height-relative:page;" fillcolor="#FFFFFF" filled="t" stroked="f" coordsize="21600,21600" o:gfxdata="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iBUA1AAAAAgBAAAPAAAA&#10;AAAAAAEAIAAAACIAAABkcnMvZG93bnJldi54bWxQSwECFAAUAAAACACHTuJAPar2n1ICAACdBAAA&#10;DgAAAAAAAAABACAAAAAjAQAAZHJzL2Uyb0RvYy54bWxQSwUGAAAAAAYABgBZAQAA5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v:textbox>
              </v:shape>
            </w:pict>
          </mc:Fallback>
        </mc:AlternateContent>
      </w:r>
      <w:r>
        <w:rPr>
          <w:rFonts w:hint="eastAsia" w:ascii="宋体" w:hAnsi="宋体" w:eastAsia="宋体" w:cs="宋体"/>
          <w:b/>
          <w:bCs/>
          <w:sz w:val="28"/>
          <w:szCs w:val="28"/>
        </w:rPr>
        <w:t>德语语法</w:t>
      </w:r>
      <w:r>
        <w:rPr>
          <w:rFonts w:hint="eastAsia" w:ascii="宋体" w:hAnsi="宋体" w:eastAsia="宋体" w:cs="宋体"/>
          <w:b/>
          <w:sz w:val="28"/>
          <w:szCs w:val="30"/>
        </w:rPr>
        <w:t>】</w:t>
      </w:r>
    </w:p>
    <w:p>
      <w:pPr>
        <w:shd w:val="clear" w:color="auto" w:fill="F5F5F5"/>
        <w:jc w:val="center"/>
        <w:textAlignment w:val="top"/>
        <w:rPr>
          <w:rFonts w:hint="eastAsia" w:ascii="宋体" w:hAnsi="宋体" w:eastAsia="宋体" w:cs="宋体"/>
          <w:color w:val="888888"/>
          <w:kern w:val="0"/>
          <w:sz w:val="20"/>
          <w:szCs w:val="20"/>
        </w:rPr>
      </w:pPr>
      <w:bookmarkStart w:id="0" w:name="a2"/>
      <w:bookmarkEnd w:id="0"/>
      <w:r>
        <w:rPr>
          <w:rFonts w:hint="eastAsia" w:ascii="宋体" w:hAnsi="宋体" w:eastAsia="宋体" w:cs="宋体"/>
          <w:b/>
          <w:sz w:val="28"/>
          <w:szCs w:val="30"/>
        </w:rPr>
        <w:t>【</w:t>
      </w:r>
      <w:r>
        <w:rPr>
          <w:rFonts w:hint="eastAsia" w:ascii="Calibri" w:hAnsi="Calibri" w:eastAsia="宋体" w:cs="Times New Roman"/>
          <w:b/>
          <w:sz w:val="28"/>
          <w:szCs w:val="30"/>
          <w:lang w:val="en-US"/>
        </w:rPr>
        <w:t>German Grammar</w:t>
      </w:r>
      <w:r>
        <w:rPr>
          <w:rFonts w:hint="eastAsia" w:ascii="宋体" w:hAnsi="宋体" w:eastAsia="宋体" w:cs="宋体"/>
          <w:b/>
          <w:sz w:val="28"/>
          <w:szCs w:val="30"/>
        </w:rPr>
        <w:t>】</w:t>
      </w:r>
    </w:p>
    <w:p>
      <w:pPr>
        <w:spacing w:before="156" w:beforeLines="50" w:after="156" w:afterLines="50" w:line="288" w:lineRule="auto"/>
        <w:ind w:firstLine="360" w:firstLineChars="150"/>
        <w:rPr>
          <w:rFonts w:hint="eastAsia" w:ascii="黑体" w:hAnsi="宋体" w:eastAsia="黑体" w:cs="Times New Roman"/>
          <w:sz w:val="24"/>
          <w:lang w:val="en-US"/>
        </w:rPr>
      </w:pPr>
      <w:r>
        <w:rPr>
          <w:rFonts w:hint="eastAsia" w:ascii="黑体" w:hAnsi="宋体" w:eastAsia="黑体" w:cs="Times New Roman"/>
          <w:sz w:val="24"/>
          <w:lang w:val="en-US"/>
        </w:rPr>
        <w:t>一、基本信息</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课程代码：</w:t>
      </w:r>
      <w:r>
        <w:rPr>
          <w:rFonts w:hint="eastAsia" w:ascii="宋体" w:hAnsi="宋体" w:eastAsia="宋体" w:cs="宋体"/>
        </w:rPr>
        <w:t>1020004</w:t>
      </w:r>
    </w:p>
    <w:p>
      <w:pPr>
        <w:snapToGrid w:val="0"/>
        <w:spacing w:line="288" w:lineRule="auto"/>
        <w:ind w:firstLine="394" w:firstLineChars="196"/>
        <w:rPr>
          <w:rFonts w:hint="eastAsia" w:ascii="宋体" w:hAnsi="宋体" w:eastAsia="宋体" w:cs="宋体"/>
          <w:color w:val="000000"/>
        </w:rPr>
      </w:pPr>
      <w:r>
        <w:rPr>
          <w:rFonts w:hint="eastAsia" w:ascii="宋体" w:hAnsi="宋体" w:eastAsia="宋体" w:cs="宋体"/>
          <w:b/>
          <w:bCs/>
          <w:color w:val="000000"/>
          <w:sz w:val="20"/>
          <w:szCs w:val="20"/>
        </w:rPr>
        <w:t>课程学分：</w:t>
      </w:r>
      <w:r>
        <w:rPr>
          <w:rFonts w:hint="eastAsia" w:ascii="宋体" w:hAnsi="宋体" w:eastAsia="宋体" w:cs="宋体"/>
          <w:color w:val="000000"/>
          <w:sz w:val="20"/>
          <w:szCs w:val="20"/>
        </w:rPr>
        <w:t>2</w:t>
      </w:r>
    </w:p>
    <w:p>
      <w:pPr>
        <w:snapToGrid w:val="0"/>
        <w:spacing w:line="288" w:lineRule="auto"/>
        <w:ind w:firstLine="394" w:firstLineChars="196"/>
        <w:rPr>
          <w:rFonts w:hint="eastAsia" w:ascii="宋体" w:hAnsi="宋体" w:eastAsia="宋体" w:cs="宋体"/>
          <w:color w:val="000000"/>
        </w:rPr>
      </w:pPr>
      <w:r>
        <w:rPr>
          <w:rFonts w:hint="eastAsia" w:ascii="宋体" w:hAnsi="宋体" w:eastAsia="宋体" w:cs="宋体"/>
          <w:b/>
          <w:bCs/>
          <w:color w:val="000000"/>
          <w:sz w:val="20"/>
          <w:szCs w:val="20"/>
        </w:rPr>
        <w:t>面向专业：</w:t>
      </w:r>
      <w:r>
        <w:rPr>
          <w:rFonts w:hint="eastAsia" w:ascii="宋体" w:hAnsi="宋体" w:eastAsia="宋体" w:cs="宋体"/>
          <w:kern w:val="0"/>
          <w:sz w:val="20"/>
          <w:szCs w:val="20"/>
        </w:rPr>
        <w:t>德语</w:t>
      </w:r>
    </w:p>
    <w:p>
      <w:pPr>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课程性质：</w:t>
      </w:r>
      <w:r>
        <w:rPr>
          <w:rFonts w:hint="eastAsia" w:ascii="宋体" w:hAnsi="宋体" w:eastAsia="宋体" w:cs="宋体"/>
          <w:kern w:val="0"/>
          <w:sz w:val="20"/>
          <w:szCs w:val="20"/>
        </w:rPr>
        <w:t>必修课</w:t>
      </w:r>
    </w:p>
    <w:p>
      <w:pPr>
        <w:snapToGrid w:val="0"/>
        <w:spacing w:line="288" w:lineRule="auto"/>
        <w:ind w:firstLine="394" w:firstLineChars="196"/>
        <w:rPr>
          <w:rFonts w:hint="eastAsia" w:ascii="宋体" w:hAnsi="宋体" w:eastAsia="宋体" w:cs="宋体"/>
          <w:b/>
          <w:bCs/>
          <w:color w:val="000000"/>
        </w:rPr>
      </w:pPr>
      <w:r>
        <w:rPr>
          <w:rFonts w:hint="eastAsia" w:ascii="宋体" w:hAnsi="宋体" w:eastAsia="宋体" w:cs="宋体"/>
          <w:b/>
          <w:bCs/>
          <w:color w:val="000000"/>
          <w:sz w:val="20"/>
          <w:szCs w:val="20"/>
        </w:rPr>
        <w:t>开课院系：外国语学院德语系</w:t>
      </w:r>
    </w:p>
    <w:p>
      <w:pPr>
        <w:snapToGrid w:val="0"/>
        <w:spacing w:line="288" w:lineRule="auto"/>
        <w:ind w:firstLine="394" w:firstLineChars="196"/>
        <w:rPr>
          <w:rFonts w:hint="eastAsia" w:ascii="宋体" w:hAnsi="宋体" w:eastAsia="宋体" w:cs="宋体"/>
          <w:color w:val="000000"/>
          <w:sz w:val="20"/>
          <w:szCs w:val="20"/>
          <w:lang w:val="en-US"/>
        </w:rPr>
      </w:pPr>
      <w:r>
        <w:rPr>
          <w:rFonts w:hint="eastAsia" w:ascii="宋体" w:hAnsi="宋体" w:eastAsia="宋体" w:cs="宋体"/>
          <w:b/>
          <w:bCs/>
          <w:color w:val="000000"/>
          <w:sz w:val="20"/>
          <w:szCs w:val="20"/>
        </w:rPr>
        <w:t>使用教材：</w:t>
      </w:r>
      <w:r>
        <w:rPr>
          <w:rFonts w:hint="eastAsia" w:ascii="宋体" w:hAnsi="宋体" w:eastAsia="宋体" w:cs="宋体"/>
          <w:bCs/>
          <w:sz w:val="20"/>
          <w:szCs w:val="20"/>
        </w:rPr>
        <w:t>新求精德语中级语法精解与练习，杨建培， 同济大学出版社，2017年</w:t>
      </w:r>
    </w:p>
    <w:p>
      <w:pPr>
        <w:snapToGrid w:val="0"/>
        <w:spacing w:line="288" w:lineRule="auto"/>
        <w:ind w:firstLine="402" w:firstLineChars="200"/>
        <w:rPr>
          <w:rFonts w:hint="eastAsia" w:ascii="宋体" w:hAnsi="宋体" w:eastAsia="宋体" w:cs="宋体"/>
          <w:bCs/>
          <w:sz w:val="20"/>
          <w:szCs w:val="20"/>
        </w:rPr>
      </w:pPr>
      <w:r>
        <w:rPr>
          <w:rFonts w:hint="eastAsia" w:ascii="宋体" w:hAnsi="宋体" w:eastAsia="宋体" w:cs="宋体"/>
          <w:b/>
          <w:bCs/>
          <w:color w:val="000000"/>
          <w:sz w:val="20"/>
          <w:szCs w:val="20"/>
        </w:rPr>
        <w:t>参考书目：</w:t>
      </w:r>
      <w:r>
        <w:rPr>
          <w:rFonts w:hint="eastAsia" w:ascii="宋体" w:hAnsi="宋体" w:eastAsia="宋体" w:cs="宋体"/>
          <w:color w:val="000000"/>
          <w:sz w:val="20"/>
          <w:szCs w:val="20"/>
        </w:rPr>
        <w:t>【</w:t>
      </w:r>
      <w:r>
        <w:rPr>
          <w:rFonts w:hint="eastAsia" w:ascii="宋体" w:hAnsi="宋体" w:eastAsia="宋体" w:cs="宋体"/>
          <w:bCs/>
          <w:sz w:val="20"/>
          <w:szCs w:val="20"/>
        </w:rPr>
        <w:t>《德语语法解析与练习》，周抗美，王兆渠，同济大学出版社，2006年</w:t>
      </w:r>
    </w:p>
    <w:p>
      <w:pPr>
        <w:snapToGrid w:val="0"/>
        <w:spacing w:line="288" w:lineRule="auto"/>
        <w:ind w:firstLine="800" w:firstLineChars="400"/>
        <w:rPr>
          <w:rFonts w:hint="eastAsia" w:ascii="宋体" w:hAnsi="宋体" w:eastAsia="宋体" w:cs="宋体"/>
          <w:bCs/>
          <w:sz w:val="20"/>
          <w:szCs w:val="20"/>
        </w:rPr>
      </w:pPr>
      <w:r>
        <w:rPr>
          <w:rFonts w:hint="eastAsia" w:ascii="宋体" w:hAnsi="宋体" w:eastAsia="宋体" w:cs="宋体"/>
          <w:bCs/>
          <w:sz w:val="20"/>
          <w:szCs w:val="20"/>
        </w:rPr>
        <w:t>《新编德语语法》 蔡幼生， 上海外语教育出版社，2006年</w:t>
      </w:r>
    </w:p>
    <w:p>
      <w:pPr>
        <w:snapToGrid w:val="0"/>
        <w:spacing w:line="288" w:lineRule="auto"/>
        <w:ind w:firstLine="800" w:firstLineChars="400"/>
        <w:rPr>
          <w:rFonts w:hint="eastAsia" w:ascii="宋体" w:hAnsi="宋体" w:eastAsia="宋体" w:cs="宋体"/>
          <w:bCs/>
          <w:sz w:val="20"/>
          <w:szCs w:val="20"/>
        </w:rPr>
      </w:pPr>
      <w:r>
        <w:rPr>
          <w:rFonts w:hint="eastAsia" w:ascii="宋体" w:hAnsi="宋体" w:eastAsia="宋体" w:cs="宋体"/>
          <w:bCs/>
          <w:sz w:val="20"/>
          <w:szCs w:val="20"/>
        </w:rPr>
        <w:t>《标准德语语法—精解与练习》 Hilke Dreyer, Richard Schmitt, 王芳译， 外语教学与研究出版社， 2016年</w:t>
      </w:r>
    </w:p>
    <w:p>
      <w:pPr>
        <w:adjustRightInd w:val="0"/>
        <w:snapToGrid w:val="0"/>
        <w:spacing w:line="288" w:lineRule="auto"/>
        <w:ind w:firstLine="394" w:firstLineChars="196"/>
        <w:rPr>
          <w:rFonts w:hint="eastAsia" w:ascii="宋体" w:hAnsi="宋体" w:eastAsia="宋体" w:cs="宋体"/>
          <w:color w:val="000000"/>
          <w:sz w:val="20"/>
          <w:szCs w:val="20"/>
        </w:rPr>
      </w:pPr>
      <w:r>
        <w:rPr>
          <w:rFonts w:hint="eastAsia" w:ascii="宋体" w:hAnsi="宋体" w:eastAsia="宋体" w:cs="宋体"/>
          <w:b/>
          <w:bCs/>
          <w:color w:val="000000"/>
          <w:sz w:val="20"/>
          <w:szCs w:val="20"/>
        </w:rPr>
        <w:t>先修课程：</w:t>
      </w:r>
      <w:r>
        <w:rPr>
          <w:rFonts w:hint="eastAsia" w:ascii="宋体" w:hAnsi="宋体" w:eastAsia="宋体" w:cs="宋体"/>
          <w:color w:val="000000"/>
          <w:sz w:val="20"/>
          <w:szCs w:val="20"/>
        </w:rPr>
        <w:t>【中级德语】</w:t>
      </w:r>
      <w:r>
        <w:rPr>
          <w:rFonts w:hint="eastAsia" w:ascii="宋体" w:hAnsi="宋体" w:eastAsia="宋体" w:cs="宋体"/>
          <w:b/>
          <w:bCs/>
          <w:color w:val="000000"/>
          <w:sz w:val="20"/>
          <w:szCs w:val="20"/>
        </w:rPr>
        <w:t xml:space="preserve"> </w:t>
      </w:r>
      <w:r>
        <w:rPr>
          <w:rFonts w:hint="eastAsia" w:ascii="宋体" w:hAnsi="宋体" w:eastAsia="宋体" w:cs="宋体"/>
        </w:rPr>
        <w:fldChar w:fldCharType="begin"/>
      </w:r>
      <w:r>
        <w:rPr>
          <w:rFonts w:hint="eastAsia" w:ascii="宋体" w:hAnsi="宋体" w:eastAsia="宋体" w:cs="宋体"/>
        </w:rPr>
        <w:instrText xml:space="preserve"> HYPERLINK "http://jwxt.gench.edu.cn/eams/syllabusTeacher.action" \t "_blank" </w:instrText>
      </w:r>
      <w:r>
        <w:rPr>
          <w:rFonts w:hint="eastAsia" w:ascii="宋体" w:hAnsi="宋体" w:eastAsia="宋体" w:cs="宋体"/>
        </w:rPr>
        <w:fldChar w:fldCharType="separate"/>
      </w:r>
      <w:r>
        <w:rPr>
          <w:rFonts w:hint="eastAsia" w:ascii="宋体" w:hAnsi="宋体" w:eastAsia="宋体" w:cs="宋体"/>
          <w:b/>
          <w:bCs/>
          <w:color w:val="000000"/>
        </w:rPr>
        <w:t>2020409</w:t>
      </w:r>
      <w:r>
        <w:rPr>
          <w:rFonts w:hint="eastAsia" w:ascii="宋体" w:hAnsi="宋体" w:eastAsia="宋体" w:cs="宋体"/>
          <w:b/>
          <w:bCs/>
          <w:color w:val="000000"/>
        </w:rPr>
        <w:fldChar w:fldCharType="end"/>
      </w:r>
      <w:r>
        <w:rPr>
          <w:rFonts w:hint="eastAsia" w:ascii="宋体" w:hAnsi="宋体" w:eastAsia="宋体" w:cs="宋体"/>
          <w:b/>
          <w:bCs/>
          <w:color w:val="000000"/>
          <w:sz w:val="20"/>
          <w:szCs w:val="20"/>
        </w:rPr>
        <w:t>(10)，2020410（10）</w:t>
      </w:r>
    </w:p>
    <w:p>
      <w:pPr>
        <w:adjustRightInd w:val="0"/>
        <w:snapToGrid w:val="0"/>
        <w:spacing w:before="156" w:beforeLines="50" w:after="156" w:afterLines="50" w:line="288" w:lineRule="auto"/>
        <w:ind w:firstLine="290" w:firstLineChars="145"/>
        <w:rPr>
          <w:rFonts w:hint="eastAsia" w:ascii="宋体" w:hAnsi="宋体" w:eastAsia="宋体" w:cs="宋体"/>
          <w:color w:val="000000"/>
          <w:sz w:val="20"/>
          <w:szCs w:val="20"/>
        </w:rPr>
      </w:pPr>
    </w:p>
    <w:p>
      <w:pPr>
        <w:spacing w:before="156" w:beforeLines="50" w:after="156" w:afterLines="50" w:line="288" w:lineRule="auto"/>
        <w:ind w:firstLine="360" w:firstLineChars="150"/>
        <w:rPr>
          <w:rFonts w:hint="eastAsia" w:ascii="黑体" w:hAnsi="宋体" w:eastAsia="黑体" w:cs="Times New Roman"/>
          <w:sz w:val="24"/>
          <w:lang w:val="en-US"/>
        </w:rPr>
      </w:pPr>
      <w:r>
        <w:rPr>
          <w:rFonts w:hint="eastAsia" w:ascii="黑体" w:hAnsi="宋体" w:eastAsia="黑体" w:cs="Times New Roman"/>
          <w:sz w:val="24"/>
          <w:lang w:val="en-US"/>
        </w:rPr>
        <w:t>二、课程简介</w:t>
      </w:r>
    </w:p>
    <w:p>
      <w:pPr>
        <w:snapToGrid w:val="0"/>
        <w:spacing w:line="288"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选修课《德语语法概述》，旨在综合讲解初级-中级-高级德语语法中的难点，帮助学生梳理德语语法，提高提高学生在上下文中恰当运用德语语法的能力和运用德语的准确性，使学生对德语语法有一个比较系统的了解。</w:t>
      </w:r>
    </w:p>
    <w:p>
      <w:pPr>
        <w:snapToGrid w:val="0"/>
        <w:spacing w:line="288"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本课程从德语基础语法入手，并且结合句法练习，探讨德语语言的结构，通过各种练习，牢固地掌握德语语法。语法专讲、精讲包括但是不仅限于德语被动句、二虚拟、一分词二分词、各类定语从句、状语从句等。课堂练习形式多样，并且提供一定的阅读材料，避免了语法练习的机械性和枯燥性，有利于培养学生对语法的学习兴趣，打下较为扎实的语法基础，提升自己的语言水平，有利于听说读写译综合技能的全面提升。</w:t>
      </w:r>
    </w:p>
    <w:p>
      <w:pPr>
        <w:snapToGrid w:val="0"/>
        <w:spacing w:line="288" w:lineRule="auto"/>
        <w:ind w:firstLine="400" w:firstLineChars="200"/>
        <w:rPr>
          <w:rFonts w:hint="eastAsia" w:ascii="宋体" w:hAnsi="宋体" w:eastAsia="宋体" w:cs="宋体"/>
          <w:color w:val="000000"/>
          <w:sz w:val="20"/>
          <w:szCs w:val="20"/>
        </w:rPr>
      </w:pPr>
    </w:p>
    <w:p>
      <w:pPr>
        <w:snapToGrid w:val="0"/>
        <w:spacing w:line="288" w:lineRule="auto"/>
        <w:ind w:firstLine="400" w:firstLineChars="200"/>
        <w:rPr>
          <w:rFonts w:hint="eastAsia" w:ascii="宋体" w:hAnsi="宋体" w:eastAsia="宋体" w:cs="宋体"/>
          <w:color w:val="000000"/>
          <w:sz w:val="20"/>
          <w:szCs w:val="20"/>
        </w:rPr>
      </w:pPr>
    </w:p>
    <w:p>
      <w:pPr>
        <w:spacing w:before="156" w:beforeLines="50" w:after="156" w:afterLines="50" w:line="288" w:lineRule="auto"/>
        <w:ind w:firstLine="360" w:firstLineChars="150"/>
        <w:rPr>
          <w:rFonts w:hint="eastAsia" w:ascii="黑体" w:hAnsi="宋体" w:eastAsia="黑体" w:cs="Times New Roman"/>
          <w:sz w:val="24"/>
          <w:lang w:val="en-US"/>
        </w:rPr>
      </w:pPr>
      <w:r>
        <w:rPr>
          <w:rFonts w:hint="eastAsia" w:ascii="黑体" w:hAnsi="宋体" w:eastAsia="黑体" w:cs="Times New Roman"/>
          <w:sz w:val="24"/>
          <w:lang w:val="en-US"/>
        </w:rPr>
        <w:t>三、选课建议</w:t>
      </w:r>
    </w:p>
    <w:p>
      <w:pPr>
        <w:snapToGrid w:val="0"/>
        <w:spacing w:line="288" w:lineRule="auto"/>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德语系大三学生选修课</w:t>
      </w:r>
    </w:p>
    <w:p>
      <w:pPr>
        <w:spacing w:before="156" w:beforeLines="50" w:after="156" w:afterLines="50" w:line="288" w:lineRule="auto"/>
        <w:ind w:firstLine="360" w:firstLineChars="150"/>
        <w:rPr>
          <w:rFonts w:hint="eastAsia" w:ascii="黑体" w:hAnsi="宋体" w:eastAsia="黑体" w:cs="Times New Roman"/>
          <w:sz w:val="24"/>
          <w:lang w:val="en-US"/>
        </w:rPr>
      </w:pPr>
      <w:bookmarkStart w:id="1" w:name="_Hlk96425617"/>
      <w:r>
        <w:rPr>
          <w:rFonts w:hint="eastAsia" w:ascii="黑体" w:hAnsi="宋体" w:eastAsia="黑体" w:cs="Times New Roman"/>
          <w:sz w:val="24"/>
          <w:lang w:val="en-US"/>
        </w:rPr>
        <w:t>四、课程与专业毕业要求的关联性</w:t>
      </w:r>
    </w:p>
    <w:bookmarkEnd w:id="1"/>
    <w:p>
      <w:pPr>
        <w:widowControl/>
        <w:spacing w:before="156" w:beforeLines="50" w:after="156" w:afterLines="50" w:line="288" w:lineRule="auto"/>
        <w:ind w:firstLine="315" w:firstLineChars="150"/>
        <w:jc w:val="left"/>
        <w:rPr>
          <w:rFonts w:hint="eastAsia" w:ascii="宋体" w:hAnsi="宋体" w:eastAsia="宋体" w:cs="宋体"/>
        </w:rPr>
      </w:pPr>
    </w:p>
    <w:tbl>
      <w:tblPr>
        <w:tblStyle w:val="4"/>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rPr>
            </w:pPr>
            <w:bookmarkStart w:id="2" w:name="_Hlk67319576"/>
            <w:r>
              <w:rPr>
                <w:rFonts w:hint="eastAsia" w:ascii="宋体" w:hAnsi="宋体" w:eastAsia="宋体" w:cs="宋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xml:space="preserve"> </w:t>
            </w: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xml:space="preserve"> </w:t>
            </w: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具备从事外贸工作的基本技能，能够从事简单的外贸活动。</w:t>
            </w:r>
            <w:r>
              <w:rPr>
                <w:rFonts w:hint="eastAsia" w:ascii="宋体" w:hAnsi="宋体" w:eastAsia="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p>
        </w:tc>
      </w:tr>
      <w:bookmarkEnd w:id="2"/>
    </w:tbl>
    <w:p>
      <w:pPr>
        <w:spacing w:before="156" w:beforeLines="50" w:after="156" w:afterLines="50" w:line="288" w:lineRule="auto"/>
        <w:ind w:firstLine="360" w:firstLineChars="150"/>
        <w:rPr>
          <w:rFonts w:hint="eastAsia" w:ascii="黑体" w:hAnsi="宋体" w:eastAsia="黑体" w:cs="Times New Roman"/>
          <w:sz w:val="24"/>
          <w:lang w:val="en-US"/>
        </w:rPr>
      </w:pPr>
      <w:r>
        <w:rPr>
          <w:rFonts w:hint="eastAsia" w:ascii="黑体" w:hAnsi="宋体" w:eastAsia="黑体" w:cs="Times New Roman"/>
          <w:sz w:val="24"/>
          <w:lang w:val="en-US"/>
        </w:rPr>
        <w:t>五、课程目标/课程预期学习成果</w:t>
      </w:r>
    </w:p>
    <w:tbl>
      <w:tblPr>
        <w:tblStyle w:val="4"/>
        <w:tblpPr w:leftFromText="180" w:rightFromText="180" w:vertAnchor="text" w:horzAnchor="page" w:tblpX="2163" w:tblpY="152"/>
        <w:tblOverlap w:val="never"/>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序号</w:t>
            </w:r>
          </w:p>
        </w:tc>
        <w:tc>
          <w:tcPr>
            <w:tcW w:w="1175" w:type="dxa"/>
            <w:shd w:val="clear" w:color="auto" w:fill="auto"/>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课程预期</w:t>
            </w:r>
          </w:p>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学习成果</w:t>
            </w:r>
          </w:p>
        </w:tc>
        <w:tc>
          <w:tcPr>
            <w:tcW w:w="2470" w:type="dxa"/>
            <w:shd w:val="clear" w:color="auto" w:fill="auto"/>
            <w:vAlign w:val="center"/>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课程目标</w:t>
            </w:r>
          </w:p>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（细化的预期学习成果）</w:t>
            </w:r>
          </w:p>
        </w:tc>
        <w:tc>
          <w:tcPr>
            <w:tcW w:w="2199" w:type="dxa"/>
            <w:shd w:val="clear" w:color="auto" w:fill="auto"/>
            <w:vAlign w:val="center"/>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教与学方式</w:t>
            </w:r>
          </w:p>
        </w:tc>
        <w:tc>
          <w:tcPr>
            <w:tcW w:w="1758" w:type="dxa"/>
            <w:shd w:val="clear" w:color="auto" w:fill="auto"/>
            <w:vAlign w:val="center"/>
          </w:tcPr>
          <w:p>
            <w:pPr>
              <w:snapToGrid w:val="0"/>
              <w:spacing w:line="288" w:lineRule="auto"/>
              <w:jc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1</w:t>
            </w:r>
          </w:p>
        </w:tc>
        <w:tc>
          <w:tcPr>
            <w:tcW w:w="1175" w:type="dxa"/>
            <w:vMerge w:val="restart"/>
            <w:shd w:val="clear" w:color="auto" w:fill="auto"/>
            <w:vAlign w:val="center"/>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LO111</w:t>
            </w:r>
          </w:p>
        </w:tc>
        <w:tc>
          <w:tcPr>
            <w:tcW w:w="2470"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sz w:val="20"/>
                <w:szCs w:val="20"/>
              </w:rPr>
              <w:t>1.了解并掌握德语语法系统结构，能够正确运用德语语法与他人进行沟通和交流</w:t>
            </w:r>
          </w:p>
        </w:tc>
        <w:tc>
          <w:tcPr>
            <w:tcW w:w="2199"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sz w:val="20"/>
                <w:szCs w:val="20"/>
              </w:rPr>
              <w:t>讲授，课堂讨论</w:t>
            </w:r>
          </w:p>
        </w:tc>
        <w:tc>
          <w:tcPr>
            <w:tcW w:w="1758"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rPr>
            </w:pPr>
          </w:p>
        </w:tc>
        <w:tc>
          <w:tcPr>
            <w:tcW w:w="1175" w:type="dxa"/>
            <w:vMerge w:val="continue"/>
            <w:shd w:val="clear" w:color="auto" w:fill="auto"/>
          </w:tcPr>
          <w:p>
            <w:pPr>
              <w:rPr>
                <w:rFonts w:hint="eastAsia" w:ascii="宋体" w:hAnsi="宋体" w:eastAsia="宋体" w:cs="宋体"/>
                <w:color w:val="000000"/>
                <w:kern w:val="0"/>
                <w:sz w:val="24"/>
              </w:rPr>
            </w:pPr>
          </w:p>
        </w:tc>
        <w:tc>
          <w:tcPr>
            <w:tcW w:w="2470"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 xml:space="preserve"> </w:t>
            </w:r>
          </w:p>
        </w:tc>
        <w:tc>
          <w:tcPr>
            <w:tcW w:w="2199"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sz w:val="20"/>
                <w:szCs w:val="20"/>
              </w:rPr>
              <w:t xml:space="preserve"> </w:t>
            </w:r>
          </w:p>
        </w:tc>
        <w:tc>
          <w:tcPr>
            <w:tcW w:w="1758" w:type="dxa"/>
            <w:shd w:val="clear" w:color="auto" w:fill="auto"/>
          </w:tcPr>
          <w:p>
            <w:pPr>
              <w:snapToGrid w:val="0"/>
              <w:spacing w:line="288"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2</w:t>
            </w:r>
          </w:p>
        </w:tc>
        <w:tc>
          <w:tcPr>
            <w:tcW w:w="1175" w:type="dxa"/>
            <w:vMerge w:val="restart"/>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LO211</w:t>
            </w:r>
          </w:p>
        </w:tc>
        <w:tc>
          <w:tcPr>
            <w:tcW w:w="2470"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1.</w:t>
            </w:r>
            <w:r>
              <w:rPr>
                <w:rFonts w:hint="eastAsia" w:ascii="宋体" w:hAnsi="宋体" w:eastAsia="宋体" w:cs="宋体"/>
                <w:color w:val="000000"/>
                <w:sz w:val="20"/>
                <w:szCs w:val="20"/>
              </w:rPr>
              <w:t>制定德语学习计划和语法复习练习计划，按计划完成学习阶段</w:t>
            </w:r>
          </w:p>
        </w:tc>
        <w:tc>
          <w:tcPr>
            <w:tcW w:w="2199"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sz w:val="20"/>
                <w:szCs w:val="20"/>
              </w:rPr>
              <w:t>学生自行检索资料，按时完成作业及练习</w:t>
            </w:r>
          </w:p>
        </w:tc>
        <w:tc>
          <w:tcPr>
            <w:tcW w:w="1758" w:type="dxa"/>
            <w:shd w:val="clear" w:color="auto" w:fill="auto"/>
          </w:tcPr>
          <w:p>
            <w:pPr>
              <w:snapToGrid w:val="0"/>
              <w:spacing w:line="288" w:lineRule="auto"/>
              <w:jc w:val="center"/>
              <w:rPr>
                <w:rFonts w:hint="eastAsia" w:ascii="宋体" w:hAnsi="宋体" w:eastAsia="宋体" w:cs="宋体"/>
                <w:sz w:val="24"/>
              </w:rPr>
            </w:pPr>
            <w:r>
              <w:rPr>
                <w:rFonts w:hint="eastAsia" w:ascii="宋体" w:hAnsi="宋体" w:eastAsia="宋体" w:cs="宋体"/>
                <w:color w:val="000000"/>
                <w:sz w:val="20"/>
                <w:szCs w:val="20"/>
              </w:rPr>
              <w:t>平时作业、课堂参与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4"/>
              </w:rPr>
            </w:pPr>
          </w:p>
        </w:tc>
        <w:tc>
          <w:tcPr>
            <w:tcW w:w="1175" w:type="dxa"/>
            <w:vMerge w:val="continue"/>
            <w:shd w:val="clear" w:color="auto" w:fill="auto"/>
          </w:tcPr>
          <w:p>
            <w:pPr>
              <w:rPr>
                <w:rFonts w:hint="eastAsia" w:ascii="宋体" w:hAnsi="宋体" w:eastAsia="宋体" w:cs="宋体"/>
                <w:color w:val="000000"/>
                <w:kern w:val="0"/>
                <w:sz w:val="24"/>
              </w:rPr>
            </w:pPr>
          </w:p>
        </w:tc>
        <w:tc>
          <w:tcPr>
            <w:tcW w:w="2470"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szCs w:val="24"/>
              </w:rPr>
              <w:t>2.</w:t>
            </w:r>
          </w:p>
        </w:tc>
        <w:tc>
          <w:tcPr>
            <w:tcW w:w="2199" w:type="dxa"/>
            <w:shd w:val="clear" w:color="auto" w:fill="auto"/>
          </w:tcPr>
          <w:p>
            <w:pPr>
              <w:snapToGrid w:val="0"/>
              <w:spacing w:line="288" w:lineRule="auto"/>
              <w:jc w:val="center"/>
              <w:rPr>
                <w:rFonts w:hint="eastAsia" w:ascii="宋体" w:hAnsi="宋体" w:eastAsia="宋体" w:cs="宋体"/>
                <w:sz w:val="24"/>
              </w:rPr>
            </w:pPr>
          </w:p>
        </w:tc>
        <w:tc>
          <w:tcPr>
            <w:tcW w:w="1758" w:type="dxa"/>
            <w:shd w:val="clear" w:color="auto" w:fill="auto"/>
          </w:tcPr>
          <w:p>
            <w:pPr>
              <w:snapToGrid w:val="0"/>
              <w:spacing w:line="288"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75" w:type="dxa"/>
            <w:shd w:val="clear" w:color="auto" w:fill="auto"/>
          </w:tcPr>
          <w:p>
            <w:pPr>
              <w:rPr>
                <w:rFonts w:hint="eastAsia" w:ascii="宋体" w:hAnsi="宋体" w:eastAsia="宋体" w:cs="宋体"/>
                <w:color w:val="000000"/>
                <w:kern w:val="0"/>
                <w:sz w:val="24"/>
              </w:rPr>
            </w:pPr>
            <w:r>
              <w:rPr>
                <w:rFonts w:hint="eastAsia" w:ascii="宋体" w:hAnsi="宋体" w:eastAsia="宋体" w:cs="宋体"/>
                <w:color w:val="000000"/>
                <w:kern w:val="0"/>
                <w:sz w:val="24"/>
              </w:rPr>
              <w:t>LO312</w:t>
            </w:r>
          </w:p>
        </w:tc>
        <w:tc>
          <w:tcPr>
            <w:tcW w:w="2470" w:type="dxa"/>
            <w:shd w:val="clear" w:color="auto" w:fill="auto"/>
          </w:tcPr>
          <w:p>
            <w:pPr>
              <w:rPr>
                <w:rFonts w:hint="eastAsia" w:ascii="宋体" w:hAnsi="宋体" w:eastAsia="宋体" w:cs="宋体"/>
                <w:color w:val="000000"/>
                <w:sz w:val="20"/>
                <w:szCs w:val="20"/>
              </w:rPr>
            </w:pPr>
            <w:r>
              <w:rPr>
                <w:rFonts w:hint="eastAsia" w:ascii="宋体" w:hAnsi="宋体" w:eastAsia="宋体" w:cs="宋体"/>
                <w:color w:val="000000"/>
                <w:sz w:val="20"/>
                <w:szCs w:val="20"/>
              </w:rPr>
              <w:t>正确运用德语语法，并且能够运用到听说读写译各个方面</w:t>
            </w:r>
          </w:p>
        </w:tc>
        <w:tc>
          <w:tcPr>
            <w:tcW w:w="2199" w:type="dxa"/>
            <w:shd w:val="clear" w:color="auto" w:fill="auto"/>
          </w:tcPr>
          <w:p>
            <w:pPr>
              <w:snapToGrid w:val="0"/>
              <w:spacing w:line="288"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师生共同讨论、练习</w:t>
            </w:r>
          </w:p>
        </w:tc>
        <w:tc>
          <w:tcPr>
            <w:tcW w:w="1758" w:type="dxa"/>
            <w:shd w:val="clear" w:color="auto" w:fill="auto"/>
          </w:tcPr>
          <w:p>
            <w:pPr>
              <w:snapToGrid w:val="0"/>
              <w:spacing w:line="288"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期末测试</w:t>
            </w:r>
          </w:p>
        </w:tc>
      </w:tr>
    </w:tbl>
    <w:p>
      <w:pPr>
        <w:snapToGrid w:val="0"/>
        <w:spacing w:line="288" w:lineRule="auto"/>
        <w:rPr>
          <w:rFonts w:hint="eastAsia" w:ascii="宋体" w:hAnsi="宋体" w:eastAsia="宋体" w:cs="宋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bCs/>
          <w:sz w:val="20"/>
          <w:szCs w:val="20"/>
        </w:rPr>
        <w:t>本课程总课时为</w:t>
      </w:r>
      <w:r>
        <w:rPr>
          <w:bCs/>
          <w:sz w:val="20"/>
          <w:szCs w:val="20"/>
        </w:rPr>
        <w:t>32</w:t>
      </w:r>
      <w:r>
        <w:rPr>
          <w:rFonts w:hint="eastAsia"/>
          <w:bCs/>
          <w:sz w:val="20"/>
          <w:szCs w:val="20"/>
        </w:rPr>
        <w:t>学时，理论课时为</w:t>
      </w:r>
      <w:r>
        <w:rPr>
          <w:bCs/>
          <w:sz w:val="20"/>
          <w:szCs w:val="20"/>
        </w:rPr>
        <w:t>32</w:t>
      </w:r>
      <w:r>
        <w:rPr>
          <w:rFonts w:hint="eastAsia"/>
          <w:bCs/>
          <w:sz w:val="20"/>
          <w:szCs w:val="20"/>
        </w:rPr>
        <w:t>学时。</w:t>
      </w:r>
    </w:p>
    <w:p>
      <w:pPr>
        <w:snapToGrid w:val="0"/>
        <w:spacing w:line="288" w:lineRule="auto"/>
        <w:ind w:firstLine="400" w:firstLineChars="200"/>
        <w:rPr>
          <w:rFonts w:ascii="宋体" w:hAnsi="宋体"/>
          <w:sz w:val="20"/>
          <w:szCs w:val="2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89"/>
        <w:gridCol w:w="1886"/>
        <w:gridCol w:w="157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p>
        </w:tc>
        <w:tc>
          <w:tcPr>
            <w:tcW w:w="2489"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知识点</w:t>
            </w:r>
          </w:p>
        </w:tc>
        <w:tc>
          <w:tcPr>
            <w:tcW w:w="1886"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能力要求</w:t>
            </w:r>
          </w:p>
        </w:tc>
        <w:tc>
          <w:tcPr>
            <w:tcW w:w="1579"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教学难点</w:t>
            </w:r>
          </w:p>
        </w:tc>
        <w:tc>
          <w:tcPr>
            <w:tcW w:w="1575" w:type="dxa"/>
          </w:tcPr>
          <w:p>
            <w:pPr>
              <w:snapToGrid w:val="0"/>
              <w:spacing w:line="288" w:lineRule="auto"/>
              <w:jc w:val="center"/>
              <w:rPr>
                <w:rFonts w:ascii="宋体" w:hAnsi="宋体" w:eastAsia="宋体" w:cs="Times New Roman"/>
                <w:kern w:val="0"/>
                <w:sz w:val="18"/>
                <w:szCs w:val="20"/>
              </w:rPr>
            </w:pP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第一单元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第一虚拟式、第二虚拟式</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知道第一虚拟式、第二虚拟式的内容，能够运用第一虚拟式、第二虚拟式进行造句和改写，能够读懂第一虚拟式、第二虚拟式的相应句子。</w:t>
            </w:r>
          </w:p>
          <w:p>
            <w:pPr>
              <w:snapToGrid w:val="0"/>
              <w:spacing w:line="288" w:lineRule="auto"/>
              <w:rPr>
                <w:rFonts w:ascii="宋体" w:hAnsi="宋体" w:eastAsia="宋体" w:cs="Times New Roman"/>
                <w:kern w:val="0"/>
                <w:sz w:val="18"/>
                <w:szCs w:val="20"/>
              </w:rPr>
            </w:pP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二虚拟各个时态的运用</w:t>
            </w:r>
          </w:p>
        </w:tc>
        <w:tc>
          <w:tcPr>
            <w:tcW w:w="1575"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第二单元</w:t>
            </w:r>
          </w:p>
        </w:tc>
        <w:tc>
          <w:tcPr>
            <w:tcW w:w="2489"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es</w:t>
            </w:r>
            <w:r>
              <w:rPr>
                <w:rFonts w:hint="eastAsia" w:ascii="宋体" w:hAnsi="宋体" w:eastAsia="宋体" w:cs="Times New Roman"/>
                <w:kern w:val="0"/>
                <w:sz w:val="18"/>
                <w:szCs w:val="20"/>
              </w:rPr>
              <w:t>的用法</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知道es的各种用法能且能够区分es在就句中的含义</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es与das的区别</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第三单元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第一分词、第二分词</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知道第一分词、第二分词的用法和特征，能够运用第一分词、第二分词</w:t>
            </w:r>
          </w:p>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进行造句和改写</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分词和关系从句的相互改写</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第四单元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功能动词</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知道并且掌握功能动词的常见搭配、中文含义及其应用</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功能动词及其搭配的背诵</w:t>
            </w:r>
          </w:p>
        </w:tc>
        <w:tc>
          <w:tcPr>
            <w:tcW w:w="1575"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第五单元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动词名词化</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掌握德语动词名词化的常见规则及具体应用</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动词名词化形式背诵</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第六单元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动词化</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掌握德语动词化的常见规则及具体应用</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动词化的规则</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第七单元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从句名词化</w:t>
            </w:r>
          </w:p>
          <w:p>
            <w:pPr>
              <w:snapToGrid w:val="0"/>
              <w:spacing w:line="288" w:lineRule="auto"/>
              <w:rPr>
                <w:rFonts w:ascii="宋体" w:hAnsi="宋体" w:eastAsia="宋体" w:cs="Times New Roman"/>
                <w:kern w:val="0"/>
                <w:sz w:val="18"/>
                <w:szCs w:val="20"/>
              </w:rPr>
            </w:pP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知道从句名词化的基本规则，并且掌握从句名词化的句型改写</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从句名词化句型改写</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第八单元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被动态的替代形式</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掌握被动句的各种替代形式，并且能进行转换</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句型转换</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第九单元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将来时表达猜测的用法</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掌握将来时表达猜测的用法</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将来时态</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2</w:t>
            </w:r>
            <w:r>
              <w:rPr>
                <w:rFonts w:hint="eastAsia" w:ascii="宋体" w:hAnsi="宋体" w:eastAsia="宋体" w:cs="Times New Roman"/>
                <w:kern w:val="0"/>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Pr>
          <w:p>
            <w:pPr>
              <w:snapToGrid w:val="0"/>
              <w:spacing w:line="288" w:lineRule="auto"/>
              <w:rPr>
                <w:rFonts w:ascii="宋体" w:hAnsi="宋体" w:eastAsia="宋体" w:cs="Times New Roman"/>
                <w:kern w:val="0"/>
                <w:sz w:val="20"/>
                <w:szCs w:val="20"/>
              </w:rPr>
            </w:pPr>
            <w:r>
              <w:rPr>
                <w:rFonts w:hint="eastAsia" w:ascii="宋体" w:hAnsi="宋体" w:eastAsia="宋体" w:cs="Times New Roman"/>
                <w:kern w:val="0"/>
                <w:sz w:val="20"/>
                <w:szCs w:val="20"/>
              </w:rPr>
              <w:t>第十单元</w:t>
            </w:r>
          </w:p>
        </w:tc>
        <w:tc>
          <w:tcPr>
            <w:tcW w:w="248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情态动词的客观用法和主观用法</w:t>
            </w:r>
          </w:p>
        </w:tc>
        <w:tc>
          <w:tcPr>
            <w:tcW w:w="1886"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掌握情态动词的客观用法和主观用法</w:t>
            </w:r>
          </w:p>
        </w:tc>
        <w:tc>
          <w:tcPr>
            <w:tcW w:w="1579" w:type="dxa"/>
          </w:tcPr>
          <w:p>
            <w:pPr>
              <w:snapToGrid w:val="0"/>
              <w:spacing w:line="288" w:lineRule="auto"/>
              <w:rPr>
                <w:rFonts w:ascii="宋体" w:hAnsi="宋体" w:eastAsia="宋体" w:cs="Times New Roman"/>
                <w:kern w:val="0"/>
                <w:sz w:val="18"/>
                <w:szCs w:val="20"/>
              </w:rPr>
            </w:pPr>
            <w:r>
              <w:rPr>
                <w:rFonts w:hint="eastAsia" w:ascii="宋体" w:hAnsi="宋体" w:eastAsia="宋体" w:cs="Times New Roman"/>
                <w:kern w:val="0"/>
                <w:sz w:val="18"/>
                <w:szCs w:val="20"/>
              </w:rPr>
              <w:t>情态动词与其他语法点的结合</w:t>
            </w:r>
          </w:p>
        </w:tc>
        <w:tc>
          <w:tcPr>
            <w:tcW w:w="1575" w:type="dxa"/>
          </w:tcPr>
          <w:p>
            <w:pPr>
              <w:snapToGrid w:val="0"/>
              <w:spacing w:line="288" w:lineRule="auto"/>
              <w:rPr>
                <w:rFonts w:ascii="宋体" w:hAnsi="宋体" w:eastAsia="宋体" w:cs="Times New Roman"/>
                <w:kern w:val="0"/>
                <w:sz w:val="18"/>
                <w:szCs w:val="20"/>
              </w:rPr>
            </w:pPr>
            <w:r>
              <w:rPr>
                <w:rFonts w:ascii="宋体" w:hAnsi="宋体" w:eastAsia="宋体" w:cs="Times New Roman"/>
                <w:kern w:val="0"/>
                <w:sz w:val="18"/>
                <w:szCs w:val="20"/>
              </w:rPr>
              <w:t>4</w:t>
            </w:r>
            <w:r>
              <w:rPr>
                <w:rFonts w:hint="eastAsia" w:ascii="宋体" w:hAnsi="宋体" w:eastAsia="宋体" w:cs="Times New Roman"/>
                <w:kern w:val="0"/>
                <w:sz w:val="18"/>
                <w:szCs w:val="20"/>
              </w:rPr>
              <w:t>课时</w:t>
            </w:r>
          </w:p>
        </w:tc>
      </w:tr>
    </w:tbl>
    <w:p>
      <w:pPr>
        <w:snapToGrid w:val="0"/>
        <w:spacing w:line="288" w:lineRule="auto"/>
        <w:ind w:firstLine="400" w:firstLineChars="200"/>
        <w:rPr>
          <w:rFonts w:ascii="宋体" w:hAnsi="宋体"/>
          <w:sz w:val="20"/>
          <w:szCs w:val="20"/>
        </w:rPr>
      </w:pPr>
    </w:p>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tbl>
      <w:tblPr>
        <w:tblStyle w:val="4"/>
        <w:tblpPr w:leftFromText="180" w:rightFromText="180" w:vertAnchor="text" w:horzAnchor="margin" w:tblpY="1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hint="eastAsia" w:ascii="宋体" w:hAnsi="宋体" w:eastAsia="宋体" w:cs="宋体"/>
                <w:bCs/>
                <w:color w:val="000000"/>
                <w:szCs w:val="20"/>
              </w:rPr>
            </w:pPr>
            <w:r>
              <w:rPr>
                <w:rFonts w:hint="eastAsia" w:ascii="宋体" w:hAnsi="宋体" w:eastAsia="宋体" w:cs="宋体"/>
                <w:bCs/>
                <w:color w:val="000000"/>
                <w:szCs w:val="20"/>
              </w:rPr>
              <w:t>总评构成（1+X）</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评价方式</w:t>
            </w:r>
          </w:p>
        </w:tc>
        <w:tc>
          <w:tcPr>
            <w:tcW w:w="184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1</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sz w:val="20"/>
                <w:szCs w:val="20"/>
              </w:rPr>
              <w:t>期末测试</w:t>
            </w:r>
          </w:p>
        </w:tc>
        <w:tc>
          <w:tcPr>
            <w:tcW w:w="184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X1</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sz w:val="20"/>
                <w:szCs w:val="20"/>
              </w:rPr>
              <w:t>小测试</w:t>
            </w:r>
          </w:p>
        </w:tc>
        <w:tc>
          <w:tcPr>
            <w:tcW w:w="184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X2</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sz w:val="20"/>
                <w:szCs w:val="20"/>
              </w:rPr>
              <w:t>平时作业</w:t>
            </w:r>
          </w:p>
        </w:tc>
        <w:tc>
          <w:tcPr>
            <w:tcW w:w="184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X3</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课堂参与</w:t>
            </w:r>
          </w:p>
        </w:tc>
        <w:tc>
          <w:tcPr>
            <w:tcW w:w="1843" w:type="dxa"/>
            <w:shd w:val="clear" w:color="auto" w:fill="auto"/>
          </w:tcPr>
          <w:p>
            <w:pPr>
              <w:snapToGrid w:val="0"/>
              <w:spacing w:before="156" w:beforeLines="50" w:after="156" w:afterLines="50"/>
              <w:jc w:val="center"/>
              <w:rPr>
                <w:rFonts w:hint="eastAsia" w:ascii="宋体" w:hAnsi="宋体" w:eastAsia="宋体" w:cs="宋体"/>
                <w:bCs/>
                <w:color w:val="000000"/>
                <w:szCs w:val="20"/>
              </w:rPr>
            </w:pPr>
            <w:r>
              <w:rPr>
                <w:rFonts w:hint="eastAsia" w:ascii="宋体" w:hAnsi="宋体" w:eastAsia="宋体" w:cs="宋体"/>
                <w:bCs/>
                <w:color w:val="000000"/>
                <w:szCs w:val="20"/>
              </w:rPr>
              <w:t>15%</w:t>
            </w:r>
          </w:p>
        </w:tc>
      </w:tr>
    </w:tbl>
    <w:p>
      <w:pPr>
        <w:snapToGrid w:val="0"/>
        <w:spacing w:line="288" w:lineRule="auto"/>
        <w:ind w:firstLine="840" w:firstLineChars="300"/>
        <w:rPr>
          <w:sz w:val="28"/>
          <w:szCs w:val="28"/>
        </w:rPr>
      </w:pPr>
    </w:p>
    <w:p>
      <w:pPr>
        <w:snapToGrid w:val="0"/>
        <w:spacing w:line="288" w:lineRule="auto"/>
        <w:ind w:firstLine="840" w:firstLineChars="300"/>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61312"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ascii="宋体" w:hAnsi="宋体" w:eastAsia="宋体" w:cs="宋体"/>
          <w:sz w:val="28"/>
          <w:szCs w:val="28"/>
        </w:rPr>
        <w:drawing>
          <wp:anchor distT="0" distB="0" distL="114300" distR="114300" simplePos="0" relativeHeight="251660288"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ascii="宋体" w:hAnsi="宋体" w:eastAsia="宋体" w:cs="宋体"/>
          <w:sz w:val="28"/>
          <w:szCs w:val="28"/>
        </w:rPr>
        <w:t xml:space="preserve">撰写人：  </w:t>
      </w:r>
      <w:r>
        <w:rPr>
          <w:rFonts w:hint="eastAsia" w:ascii="宋体" w:hAnsi="宋体" w:eastAsia="宋体" w:cs="宋体"/>
          <w:sz w:val="28"/>
          <w:szCs w:val="28"/>
        </w:rPr>
        <w:drawing>
          <wp:inline distT="0" distB="0" distL="0" distR="0">
            <wp:extent cx="428625"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pic:spPr>
                </pic:pic>
              </a:graphicData>
            </a:graphic>
          </wp:inline>
        </w:drawing>
      </w:r>
      <w:r>
        <w:rPr>
          <w:rFonts w:hint="eastAsia" w:ascii="宋体" w:hAnsi="宋体" w:eastAsia="宋体" w:cs="宋体"/>
          <w:sz w:val="28"/>
          <w:szCs w:val="28"/>
        </w:rPr>
        <w:t xml:space="preserve">          系主任审核签名：</w:t>
      </w:r>
      <w:r>
        <w:rPr>
          <w:rFonts w:hint="eastAsia" w:ascii="宋体" w:hAnsi="宋体" w:eastAsia="宋体" w:cs="宋体"/>
          <w:color w:val="000000"/>
          <w:szCs w:val="21"/>
        </w:rPr>
        <w:drawing>
          <wp:inline distT="0" distB="0" distL="0" distR="0">
            <wp:extent cx="679450" cy="311150"/>
            <wp:effectExtent l="0" t="0" r="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450" cy="311150"/>
                    </a:xfrm>
                    <a:prstGeom prst="rect">
                      <a:avLst/>
                    </a:prstGeom>
                    <a:noFill/>
                    <a:ln>
                      <a:noFill/>
                    </a:ln>
                  </pic:spPr>
                </pic:pic>
              </a:graphicData>
            </a:graphic>
          </wp:inline>
        </w:drawing>
      </w:r>
    </w:p>
    <w:p>
      <w:pPr>
        <w:snapToGrid w:val="0"/>
        <w:spacing w:line="288"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审核时间：2023.2.20</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84252A"/>
    <w:rsid w:val="000B4D64"/>
    <w:rsid w:val="00343A89"/>
    <w:rsid w:val="003B4AB5"/>
    <w:rsid w:val="003D50D3"/>
    <w:rsid w:val="00516020"/>
    <w:rsid w:val="0084252A"/>
    <w:rsid w:val="00887249"/>
    <w:rsid w:val="009234FA"/>
    <w:rsid w:val="00A5672D"/>
    <w:rsid w:val="00B3404F"/>
    <w:rsid w:val="00B73BDB"/>
    <w:rsid w:val="00D9091C"/>
    <w:rsid w:val="00E71265"/>
    <w:rsid w:val="00F93A29"/>
    <w:rsid w:val="44F679FC"/>
    <w:rsid w:val="7697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de-DE"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lang w:val="de-DE"/>
    </w:rPr>
  </w:style>
  <w:style w:type="character" w:customStyle="1" w:styleId="8">
    <w:name w:val="页脚 字符"/>
    <w:basedOn w:val="6"/>
    <w:link w:val="2"/>
    <w:qFormat/>
    <w:uiPriority w:val="99"/>
    <w:rPr>
      <w:sz w:val="18"/>
      <w:szCs w:val="18"/>
      <w:lang w:val="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2127</Words>
  <Characters>2404</Characters>
  <Lines>20</Lines>
  <Paragraphs>5</Paragraphs>
  <TotalTime>1</TotalTime>
  <ScaleCrop>false</ScaleCrop>
  <LinksUpToDate>false</LinksUpToDate>
  <CharactersWithSpaces>2435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2022-02-22T06:50:00Z</dcterms:created>
  <dc:creator>17153</dc:creator>
  <cp:lastModifiedBy>Administrator</cp:lastModifiedBy>
  <dcterms:modified xsi:type="dcterms:W3CDTF">2023-03-03T05:58:16Z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47F096B81E54449E851E3506A433D442</vt:lpwstr>
  </property>
</Properties>
</file>